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  <w:jc w:val="center"/>
      </w:pPr>
      <w:r>
        <w:t>Order fractions</w:t>
      </w:r>
    </w:p>
    <w:p>
      <w:pPr>
        <w:spacing w:after="80"/>
        <w:jc w:val="center"/>
      </w:pPr>
      <w:r>
        <w:rPr>
          <w:rFonts w:ascii="Arial" w:hAnsi="Arial"/>
          <w:b/>
          <w:color w:val="2C6E73"/>
          <w:sz w:val="17"/>
        </w:rPr>
        <w:t>Year 6 Maths  |  Spring  |  Week 11  |  Day 4  |  Editable teacher plan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57"/>
        <w:gridCol w:w="3657"/>
        <w:gridCol w:w="3657"/>
        <w:gridCol w:w="3657"/>
      </w:tblGrid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and class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Date and time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</w:tr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Learning intention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To order fractions greater and less than one.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Resources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Fraction strips, multiplication grid, factor cards, number lines, mini whiteboards.</w:t>
            </w:r>
          </w:p>
        </w:tc>
      </w:tr>
    </w:tbl>
    <w:p>
      <w:pPr>
        <w:spacing w:before="60" w:after="40"/>
      </w:pPr>
      <w:r>
        <w:rPr>
          <w:rFonts w:ascii="Arial" w:hAnsi="Arial"/>
          <w:b/>
          <w:color w:val="000000"/>
          <w:sz w:val="21"/>
        </w:rPr>
        <w:t>Supply teacher sequence  I do  We do  You do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926"/>
        <w:gridCol w:w="2926"/>
        <w:gridCol w:w="2926"/>
        <w:gridCol w:w="2926"/>
        <w:gridCol w:w="2926"/>
      </w:tblGrid>
      <w:tr>
        <w:trPr>
          <w:cantSplit/>
        </w:trPr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Time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Phase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actions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Pupil actions and assessment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Slides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0-6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Ready and retrieve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Check equipment. Share LI. Use: Retrieve this prerequisite: Recognise equivalent fractions and use common factors and multiples.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Mini-whiteboard responses identify the pre-teach group.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1-2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6-20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Model: Order 2/3, 3/4 and 5/6 from least to greatest. Think aloud: Identify useful common factors or a common denominator. Convert or simplify without changing the fraction's value. Compare the new forms and justify the conclusion. Answer: 2/3, 3/4, 5/6.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Pupils track each step and explain why it follows.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3-5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20-34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We do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Solve together: Give a fraction between 3/5 and 2/3. Delay the reveal. Expected answer: 5/8 is one possible answer.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All pupils commit to a step before discussion. Check vocabulary and method.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6-8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34-54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You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Set the selected worksheet section. Core question: Write 5/6 with denominator 24.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Lower uses scaffold and adult prompts. Expected works independently. Higher proves and generalises.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9-11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54-60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Review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Exit question: Write 5/6 with denominator 24. Address Miro's error: Convert the fractions to equivalent forms or use a shared benchmark before comparing.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Record initials and one precise next step from the work, not confidence alone.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877"/>
        <w:gridCol w:w="4877"/>
        <w:gridCol w:w="4877"/>
      </w:tblGrid>
      <w:tr>
        <w:trPr>
          <w:cantSplit/>
        </w:trPr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Lower support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Expected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Higher and early finisher</w:t>
            </w:r>
          </w:p>
        </w:tc>
      </w:tr>
      <w:tr>
        <w:trPr>
          <w:cantSplit/>
        </w:trPr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Smaller step and scaffold: Give a fraction between 3/5 and 2/3. Use a worked first line, vocabulary prompt and adult check after each stage.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Independent core: Write 5/6 with denominator 24. Require a complete method and check.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Reasoning and depth: Prove or explain your reasoning: Simplify 42/56. Require proof, comparison or generalisation.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315"/>
        <w:gridCol w:w="7315"/>
      </w:tblGrid>
      <w:tr>
        <w:trPr>
          <w:cantSplit/>
        </w:trPr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Pre-teach and prior learning</w:t>
              <w:br/>
              <w:t>Secure the vocabulary and prerequisite knowledge needed for order fractions. Recognise equivalent fractions and use common factors and multiples.</w:t>
            </w:r>
          </w:p>
        </w:tc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Vocabulary</w:t>
              <w:br/>
              <w:t>numerator, denominator, equivalent, simplify, common factor, common denominator</w:t>
            </w:r>
          </w:p>
        </w:tc>
      </w:tr>
      <w:tr>
        <w:trPr>
          <w:cantSplit/>
        </w:trPr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SEND, EAL, ADHD, ODD and individual needs</w:t>
              <w:br/>
              <w:t>[Add initials, triggers, communication needs, reasonable adjustments, movement or low-arousal choices, adult prompts and adapted recording.]</w:t>
            </w:r>
          </w:p>
        </w:tc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Assessment notes and next steps</w:t>
              <w:br/>
              <w:t>[Add who is secure, the misconception seen, evidence from independent work and the exact next teaching step.]</w:t>
            </w:r>
          </w:p>
        </w:tc>
      </w:tr>
    </w:tbl>
    <w:p>
      <w:pPr>
        <w:spacing w:before="40" w:after="0"/>
        <w:jc w:val="center"/>
      </w:pPr>
      <w:r>
        <w:rPr>
          <w:rFonts w:ascii="Arial" w:hAnsi="Arial"/>
          <w:color w:val="5F6E7C"/>
          <w:sz w:val="14"/>
        </w:rPr>
        <w:t>Misconception to watch: Miro compares fractions by looking only at the denominators.  |  Correction: Convert the fractions to equivalent forms or use a shared benchmark before comparing.</w:t>
      </w:r>
    </w:p>
    <w:sectPr w:rsidR="00FC693F" w:rsidRPr="0006063C" w:rsidSect="00034616">
      <w:pgSz w:w="15840" w:h="12240" w:orient="landscape"/>
      <w:pgMar w:top="518" w:right="605" w:bottom="490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