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0"/>
        <w:jc w:val="center"/>
      </w:pPr>
      <w:r>
        <w:t>Find common multiples</w:t>
      </w:r>
    </w:p>
    <w:p>
      <w:pPr>
        <w:spacing w:after="80"/>
        <w:jc w:val="center"/>
      </w:pPr>
      <w:r>
        <w:rPr>
          <w:rFonts w:ascii="Arial" w:hAnsi="Arial"/>
          <w:b/>
          <w:color w:val="2C6E73"/>
          <w:sz w:val="17"/>
        </w:rPr>
        <w:t>Year 6 Maths  |  Autumn  |  Week 5  |  Day 3  |  Editable teacher plan</w:t>
      </w:r>
    </w:p>
    <w:tbl>
      <w:tblPr>
        <w:tblW w:type="auto" w:w="0"/>
        <w:tblLayout w:type="fixed"/>
        <w:tblLook w:firstColumn="1" w:firstRow="1" w:lastColumn="0" w:lastRow="0" w:noHBand="0" w:noVBand="1" w:val="04A0"/>
      </w:tblPr>
      <w:tblGrid>
        <w:gridCol w:w="3657"/>
        <w:gridCol w:w="3657"/>
        <w:gridCol w:w="3657"/>
        <w:gridCol w:w="3657"/>
      </w:tblGrid>
      <w:tr>
        <w:trPr>
          <w:cantSplit/>
        </w:trPr>
        <w:tc>
          <w:tcPr>
            <w:tcW w:type="dxa" w:w="3657"/>
            <w:shd w:fill="18324A"/>
            <w:vAlign w:val="center"/>
            <w:tcMar>
              <w:top w:w="65" w:type="dxa"/>
              <w:start w:w="85" w:type="dxa"/>
              <w:bottom w:w="65" w:type="dxa"/>
              <w:end w:w="85" w:type="dxa"/>
            </w:tcMar>
          </w:tcPr>
          <w:p>
            <w:pPr>
              <w:spacing w:after="0"/>
              <w:jc w:val="left"/>
            </w:pPr>
            <w:r/>
            <w:r>
              <w:rPr>
                <w:rFonts w:ascii="Arial" w:hAnsi="Arial"/>
                <w:b/>
                <w:color w:val="FFFFFF"/>
                <w:sz w:val="15"/>
              </w:rPr>
              <w:t>Teacher and class</w:t>
            </w:r>
          </w:p>
        </w:tc>
        <w:tc>
          <w:tcPr>
            <w:tcW w:type="dxa" w:w="3657"/>
            <w:shd w:fill="FFFFFF"/>
            <w:vAlign w:val="center"/>
            <w:tcMar>
              <w:top w:w="65" w:type="dxa"/>
              <w:start w:w="85" w:type="dxa"/>
              <w:bottom w:w="65" w:type="dxa"/>
              <w:end w:w="85" w:type="dxa"/>
            </w:tcMar>
          </w:tcPr>
          <w:p>
            <w:pPr>
              <w:spacing w:after="0"/>
              <w:jc w:val="left"/>
            </w:pPr>
            <w:r/>
            <w:r>
              <w:rPr>
                <w:rFonts w:ascii="Arial" w:hAnsi="Arial"/>
                <w:b w:val="0"/>
                <w:color w:val="17253A"/>
                <w:sz w:val="15"/>
              </w:rPr>
              <w:t>[Type here]</w:t>
            </w:r>
          </w:p>
        </w:tc>
        <w:tc>
          <w:tcPr>
            <w:tcW w:type="dxa" w:w="3657"/>
            <w:shd w:fill="18324A"/>
            <w:vAlign w:val="center"/>
            <w:tcMar>
              <w:top w:w="65" w:type="dxa"/>
              <w:start w:w="85" w:type="dxa"/>
              <w:bottom w:w="65" w:type="dxa"/>
              <w:end w:w="85" w:type="dxa"/>
            </w:tcMar>
          </w:tcPr>
          <w:p>
            <w:pPr>
              <w:spacing w:after="0"/>
              <w:jc w:val="left"/>
            </w:pPr>
            <w:r/>
            <w:r>
              <w:rPr>
                <w:rFonts w:ascii="Arial" w:hAnsi="Arial"/>
                <w:b/>
                <w:color w:val="FFFFFF"/>
                <w:sz w:val="15"/>
              </w:rPr>
              <w:t>Date and time</w:t>
            </w:r>
          </w:p>
        </w:tc>
        <w:tc>
          <w:tcPr>
            <w:tcW w:type="dxa" w:w="3657"/>
            <w:shd w:fill="FFFFFF"/>
            <w:vAlign w:val="center"/>
            <w:tcMar>
              <w:top w:w="65" w:type="dxa"/>
              <w:start w:w="85" w:type="dxa"/>
              <w:bottom w:w="65" w:type="dxa"/>
              <w:end w:w="85" w:type="dxa"/>
            </w:tcMar>
          </w:tcPr>
          <w:p>
            <w:pPr>
              <w:spacing w:after="0"/>
              <w:jc w:val="left"/>
            </w:pPr>
            <w:r/>
            <w:r>
              <w:rPr>
                <w:rFonts w:ascii="Arial" w:hAnsi="Arial"/>
                <w:b w:val="0"/>
                <w:color w:val="17253A"/>
                <w:sz w:val="15"/>
              </w:rPr>
              <w:t>[Type here]</w:t>
            </w:r>
          </w:p>
        </w:tc>
      </w:tr>
      <w:tr>
        <w:trPr>
          <w:cantSplit/>
        </w:trPr>
        <w:tc>
          <w:tcPr>
            <w:tcW w:type="dxa" w:w="3657"/>
            <w:shd w:fill="18324A"/>
            <w:vAlign w:val="center"/>
            <w:tcMar>
              <w:top w:w="65" w:type="dxa"/>
              <w:start w:w="85" w:type="dxa"/>
              <w:bottom w:w="65" w:type="dxa"/>
              <w:end w:w="85" w:type="dxa"/>
            </w:tcMar>
          </w:tcPr>
          <w:p>
            <w:pPr>
              <w:spacing w:after="0"/>
              <w:jc w:val="left"/>
            </w:pPr>
            <w:r/>
            <w:r>
              <w:rPr>
                <w:rFonts w:ascii="Arial" w:hAnsi="Arial"/>
                <w:b/>
                <w:color w:val="FFFFFF"/>
                <w:sz w:val="15"/>
              </w:rPr>
              <w:t>Learning intention</w:t>
            </w:r>
          </w:p>
        </w:tc>
        <w:tc>
          <w:tcPr>
            <w:tcW w:type="dxa" w:w="3657"/>
            <w:shd w:fill="F1F6F6"/>
            <w:vAlign w:val="center"/>
            <w:tcMar>
              <w:top w:w="65" w:type="dxa"/>
              <w:start w:w="85" w:type="dxa"/>
              <w:bottom w:w="65" w:type="dxa"/>
              <w:end w:w="85" w:type="dxa"/>
            </w:tcMar>
          </w:tcPr>
          <w:p>
            <w:pPr>
              <w:spacing w:after="0"/>
              <w:jc w:val="left"/>
            </w:pPr>
            <w:r/>
            <w:r>
              <w:rPr>
                <w:rFonts w:ascii="Arial" w:hAnsi="Arial"/>
                <w:b w:val="0"/>
                <w:color w:val="17253A"/>
                <w:sz w:val="15"/>
              </w:rPr>
              <w:t>To identify common multiples and the lowest common multiple.</w:t>
            </w:r>
          </w:p>
        </w:tc>
        <w:tc>
          <w:tcPr>
            <w:tcW w:type="dxa" w:w="3657"/>
            <w:shd w:fill="18324A"/>
            <w:vAlign w:val="center"/>
            <w:tcMar>
              <w:top w:w="65" w:type="dxa"/>
              <w:start w:w="85" w:type="dxa"/>
              <w:bottom w:w="65" w:type="dxa"/>
              <w:end w:w="85" w:type="dxa"/>
            </w:tcMar>
          </w:tcPr>
          <w:p>
            <w:pPr>
              <w:spacing w:after="0"/>
              <w:jc w:val="left"/>
            </w:pPr>
            <w:r/>
            <w:r>
              <w:rPr>
                <w:rFonts w:ascii="Arial" w:hAnsi="Arial"/>
                <w:b/>
                <w:color w:val="FFFFFF"/>
                <w:sz w:val="15"/>
              </w:rPr>
              <w:t>Resources</w:t>
            </w:r>
          </w:p>
        </w:tc>
        <w:tc>
          <w:tcPr>
            <w:tcW w:type="dxa" w:w="3657"/>
            <w:shd w:fill="F1F6F6"/>
            <w:vAlign w:val="center"/>
            <w:tcMar>
              <w:top w:w="65" w:type="dxa"/>
              <w:start w:w="85" w:type="dxa"/>
              <w:bottom w:w="65" w:type="dxa"/>
              <w:end w:w="85" w:type="dxa"/>
            </w:tcMar>
          </w:tcPr>
          <w:p>
            <w:pPr>
              <w:spacing w:after="0"/>
              <w:jc w:val="left"/>
            </w:pPr>
            <w:r/>
            <w:r>
              <w:rPr>
                <w:rFonts w:ascii="Arial" w:hAnsi="Arial"/>
                <w:b w:val="0"/>
                <w:color w:val="17253A"/>
                <w:sz w:val="15"/>
              </w:rPr>
              <w:t>Multiplication grids, factor rainbows, counters, hundred square, mini whiteboards.</w:t>
            </w:r>
          </w:p>
        </w:tc>
      </w:tr>
    </w:tbl>
    <w:p>
      <w:pPr>
        <w:spacing w:before="60" w:after="40"/>
      </w:pPr>
      <w:r>
        <w:rPr>
          <w:rFonts w:ascii="Arial" w:hAnsi="Arial"/>
          <w:b/>
          <w:color w:val="000000"/>
          <w:sz w:val="21"/>
        </w:rPr>
        <w:t>Supply teacher sequence  I do  We do  You do</w:t>
      </w:r>
    </w:p>
    <w:tbl>
      <w:tblPr>
        <w:tblW w:type="auto" w:w="0"/>
        <w:tblLook w:firstColumn="1" w:firstRow="1" w:lastColumn="0" w:lastRow="0" w:noHBand="0" w:noVBand="1" w:val="04A0"/>
      </w:tblPr>
      <w:tblGrid>
        <w:gridCol w:w="2926"/>
        <w:gridCol w:w="2926"/>
        <w:gridCol w:w="2926"/>
        <w:gridCol w:w="2926"/>
        <w:gridCol w:w="2926"/>
      </w:tblGrid>
      <w:tr>
        <w:trPr>
          <w:cantSplit/>
        </w:trPr>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Time</w:t>
            </w:r>
          </w:p>
        </w:tc>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Phase</w:t>
            </w:r>
          </w:p>
        </w:tc>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Teacher actions</w:t>
            </w:r>
          </w:p>
        </w:tc>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Pupil actions and assessment</w:t>
            </w:r>
          </w:p>
        </w:tc>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Slides</w:t>
            </w:r>
          </w:p>
        </w:tc>
      </w:tr>
      <w:tr>
        <w:trPr>
          <w:cantSplit/>
        </w:trPr>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0-6</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Ready and retrieve</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Check equipment. Share LI. Use: Retrieve this prerequisite: Recall multiplication facts, recognise factor pairs and identify square and cube numbers.</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Mini-whiteboard responses identify the pre-teach group.</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1-2</w:t>
            </w:r>
          </w:p>
        </w:tc>
      </w:tr>
      <w:tr>
        <w:trPr>
          <w:cantSplit/>
        </w:trPr>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6-20</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I do</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Model: Find the lowest common multiple of 18 and 24. Think aloud: State whether the task concerns factors or multiples. Work systematically from the smallest possible factor or multiple. Check that the list is complete and use it to justify the conclusion. Answer: 72.</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Pupils track each step and explain why it follows.</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3-5</w:t>
            </w:r>
          </w:p>
        </w:tc>
      </w:tr>
      <w:tr>
        <w:trPr>
          <w:cantSplit/>
        </w:trPr>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20-34</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We do</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Solve together: Write the first three common multiples of 6 and 8. Delay the reveal. Expected answer: 24, 48 and 72.</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All pupils commit to a step before discussion. Check vocabulary and method.</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6-8</w:t>
            </w:r>
          </w:p>
        </w:tc>
      </w:tr>
      <w:tr>
        <w:trPr>
          <w:cantSplit/>
        </w:trPr>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34-54</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You do</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Set the selected worksheet section. Core question: Find the LCM of 15 and 20.</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Lower uses scaffold and adult prompts. Expected works independently. Higher proves and generalises.</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9-11</w:t>
            </w:r>
          </w:p>
        </w:tc>
      </w:tr>
      <w:tr>
        <w:trPr>
          <w:cantSplit/>
        </w:trPr>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54-60</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Review</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Exit question: Find the LCM of 15 and 20. Address Miro's error: Multiples continue from repeated multiplication. Factors divide the number exactly.</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Record initials and one precise next step from the work, not confidence alone.</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12</w:t>
            </w:r>
          </w:p>
        </w:tc>
      </w:tr>
    </w:tbl>
    <w:tbl>
      <w:tblPr>
        <w:tblW w:type="auto" w:w="0"/>
        <w:tblLook w:firstColumn="1" w:firstRow="1" w:lastColumn="0" w:lastRow="0" w:noHBand="0" w:noVBand="1" w:val="04A0"/>
      </w:tblPr>
      <w:tblGrid>
        <w:gridCol w:w="4877"/>
        <w:gridCol w:w="4877"/>
        <w:gridCol w:w="4877"/>
      </w:tblGrid>
      <w:tr>
        <w:trPr>
          <w:cantSplit/>
        </w:trPr>
        <w:tc>
          <w:tcPr>
            <w:tcW w:type="dxa" w:w="4877"/>
            <w:shd w:fill="2C6E73"/>
            <w:vAlign w:val="center"/>
            <w:tcMar>
              <w:top w:w="65" w:type="dxa"/>
              <w:start w:w="85" w:type="dxa"/>
              <w:bottom w:w="65" w:type="dxa"/>
              <w:end w:w="85" w:type="dxa"/>
            </w:tcMar>
          </w:tcPr>
          <w:p>
            <w:pPr>
              <w:spacing w:after="0"/>
              <w:jc w:val="center"/>
            </w:pPr>
            <w:r/>
            <w:r>
              <w:rPr>
                <w:rFonts w:ascii="Arial" w:hAnsi="Arial"/>
                <w:b/>
                <w:color w:val="FFFFFF"/>
                <w:sz w:val="15"/>
              </w:rPr>
              <w:t>Lower support</w:t>
            </w:r>
          </w:p>
        </w:tc>
        <w:tc>
          <w:tcPr>
            <w:tcW w:type="dxa" w:w="4877"/>
            <w:shd w:fill="2C6E73"/>
            <w:vAlign w:val="center"/>
            <w:tcMar>
              <w:top w:w="65" w:type="dxa"/>
              <w:start w:w="85" w:type="dxa"/>
              <w:bottom w:w="65" w:type="dxa"/>
              <w:end w:w="85" w:type="dxa"/>
            </w:tcMar>
          </w:tcPr>
          <w:p>
            <w:pPr>
              <w:spacing w:after="0"/>
              <w:jc w:val="center"/>
            </w:pPr>
            <w:r/>
            <w:r>
              <w:rPr>
                <w:rFonts w:ascii="Arial" w:hAnsi="Arial"/>
                <w:b/>
                <w:color w:val="FFFFFF"/>
                <w:sz w:val="15"/>
              </w:rPr>
              <w:t>Expected</w:t>
            </w:r>
          </w:p>
        </w:tc>
        <w:tc>
          <w:tcPr>
            <w:tcW w:type="dxa" w:w="4877"/>
            <w:shd w:fill="2C6E73"/>
            <w:vAlign w:val="center"/>
            <w:tcMar>
              <w:top w:w="65" w:type="dxa"/>
              <w:start w:w="85" w:type="dxa"/>
              <w:bottom w:w="65" w:type="dxa"/>
              <w:end w:w="85" w:type="dxa"/>
            </w:tcMar>
          </w:tcPr>
          <w:p>
            <w:pPr>
              <w:spacing w:after="0"/>
              <w:jc w:val="center"/>
            </w:pPr>
            <w:r/>
            <w:r>
              <w:rPr>
                <w:rFonts w:ascii="Arial" w:hAnsi="Arial"/>
                <w:b/>
                <w:color w:val="FFFFFF"/>
                <w:sz w:val="15"/>
              </w:rPr>
              <w:t>Higher and early finisher</w:t>
            </w:r>
          </w:p>
        </w:tc>
      </w:tr>
      <w:tr>
        <w:trPr>
          <w:cantSplit/>
        </w:trPr>
        <w:tc>
          <w:tcPr>
            <w:tcW w:type="dxa" w:w="4877"/>
            <w:shd w:fill="FBF7F0"/>
            <w:vAlign w:val="center"/>
            <w:tcMar>
              <w:top w:w="65" w:type="dxa"/>
              <w:start w:w="85" w:type="dxa"/>
              <w:bottom w:w="65" w:type="dxa"/>
              <w:end w:w="85" w:type="dxa"/>
            </w:tcMar>
          </w:tcPr>
          <w:p>
            <w:pPr>
              <w:spacing w:after="0"/>
              <w:jc w:val="left"/>
            </w:pPr>
            <w:r/>
            <w:r>
              <w:rPr>
                <w:rFonts w:ascii="Arial" w:hAnsi="Arial"/>
                <w:b w:val="0"/>
                <w:color w:val="17253A"/>
                <w:sz w:val="14"/>
              </w:rPr>
              <w:t>Smaller step and scaffold: Write the first three common multiples of 6 and 8. Use a worked first line, vocabulary prompt and adult check after each stage.</w:t>
            </w:r>
          </w:p>
        </w:tc>
        <w:tc>
          <w:tcPr>
            <w:tcW w:type="dxa" w:w="4877"/>
            <w:shd w:fill="FBF7F0"/>
            <w:vAlign w:val="center"/>
            <w:tcMar>
              <w:top w:w="65" w:type="dxa"/>
              <w:start w:w="85" w:type="dxa"/>
              <w:bottom w:w="65" w:type="dxa"/>
              <w:end w:w="85" w:type="dxa"/>
            </w:tcMar>
          </w:tcPr>
          <w:p>
            <w:pPr>
              <w:spacing w:after="0"/>
              <w:jc w:val="left"/>
            </w:pPr>
            <w:r/>
            <w:r>
              <w:rPr>
                <w:rFonts w:ascii="Arial" w:hAnsi="Arial"/>
                <w:b w:val="0"/>
                <w:color w:val="17253A"/>
                <w:sz w:val="14"/>
              </w:rPr>
              <w:t>Independent core: Find the LCM of 15 and 20. Require a complete method and check.</w:t>
            </w:r>
          </w:p>
        </w:tc>
        <w:tc>
          <w:tcPr>
            <w:tcW w:type="dxa" w:w="4877"/>
            <w:shd w:fill="FBF7F0"/>
            <w:vAlign w:val="center"/>
            <w:tcMar>
              <w:top w:w="65" w:type="dxa"/>
              <w:start w:w="85" w:type="dxa"/>
              <w:bottom w:w="65" w:type="dxa"/>
              <w:end w:w="85" w:type="dxa"/>
            </w:tcMar>
          </w:tcPr>
          <w:p>
            <w:pPr>
              <w:spacing w:after="0"/>
              <w:jc w:val="left"/>
            </w:pPr>
            <w:r/>
            <w:r>
              <w:rPr>
                <w:rFonts w:ascii="Arial" w:hAnsi="Arial"/>
                <w:b w:val="0"/>
                <w:color w:val="17253A"/>
                <w:sz w:val="14"/>
              </w:rPr>
              <w:t>Reasoning and depth: Two traffic lights flash every 12 and 18 seconds. They flash together now. When next? Require proof, comparison or generalisation.</w:t>
            </w:r>
          </w:p>
        </w:tc>
      </w:tr>
    </w:tbl>
    <w:tbl>
      <w:tblPr>
        <w:tblW w:type="auto" w:w="0"/>
        <w:tblLook w:firstColumn="1" w:firstRow="1" w:lastColumn="0" w:lastRow="0" w:noHBand="0" w:noVBand="1" w:val="04A0"/>
      </w:tblPr>
      <w:tblGrid>
        <w:gridCol w:w="7315"/>
        <w:gridCol w:w="7315"/>
      </w:tblGrid>
      <w:tr>
        <w:trPr>
          <w:cantSplit/>
        </w:trPr>
        <w:tc>
          <w:tcPr>
            <w:tcW w:type="dxa" w:w="7315"/>
            <w:shd w:fill="FFFFFF"/>
            <w:vAlign w:val="center"/>
            <w:tcMar>
              <w:top w:w="65" w:type="dxa"/>
              <w:start w:w="85" w:type="dxa"/>
              <w:bottom w:w="65" w:type="dxa"/>
              <w:end w:w="85" w:type="dxa"/>
            </w:tcMar>
          </w:tcPr>
          <w:p>
            <w:pPr>
              <w:spacing w:after="0"/>
              <w:jc w:val="left"/>
            </w:pPr>
            <w:r>
              <w:rPr>
                <w:b w:val="0"/>
              </w:rPr>
            </w:r>
            <w:r>
              <w:rPr>
                <w:rFonts w:ascii="Arial" w:hAnsi="Arial"/>
                <w:b w:val="0"/>
                <w:color w:val="17253A"/>
                <w:sz w:val="14"/>
              </w:rPr>
              <w:t>Pre-teach and prior learning</w:t>
              <w:br/>
              <w:t>Secure the vocabulary and prerequisite knowledge needed for find common multiples. Recall multiplication facts, recognise factor pairs and identify square and cube numbers.</w:t>
            </w:r>
          </w:p>
        </w:tc>
        <w:tc>
          <w:tcPr>
            <w:tcW w:type="dxa" w:w="7315"/>
            <w:shd w:fill="FFFFFF"/>
            <w:vAlign w:val="center"/>
            <w:tcMar>
              <w:top w:w="65" w:type="dxa"/>
              <w:start w:w="85" w:type="dxa"/>
              <w:bottom w:w="65" w:type="dxa"/>
              <w:end w:w="85" w:type="dxa"/>
            </w:tcMar>
          </w:tcPr>
          <w:p>
            <w:pPr>
              <w:spacing w:after="0"/>
              <w:jc w:val="left"/>
            </w:pPr>
            <w:r>
              <w:rPr>
                <w:b w:val="0"/>
              </w:rPr>
            </w:r>
            <w:r>
              <w:rPr>
                <w:rFonts w:ascii="Arial" w:hAnsi="Arial"/>
                <w:b w:val="0"/>
                <w:color w:val="17253A"/>
                <w:sz w:val="14"/>
              </w:rPr>
              <w:t>Vocabulary</w:t>
              <w:br/>
              <w:t>factor, multiple, common, prime, composite, square, cube</w:t>
            </w:r>
          </w:p>
        </w:tc>
      </w:tr>
      <w:tr>
        <w:trPr>
          <w:cantSplit/>
        </w:trPr>
        <w:tc>
          <w:tcPr>
            <w:tcW w:type="dxa" w:w="7315"/>
            <w:shd w:fill="F1F6F6"/>
            <w:vAlign w:val="center"/>
            <w:tcMar>
              <w:top w:w="65" w:type="dxa"/>
              <w:start w:w="85" w:type="dxa"/>
              <w:bottom w:w="65" w:type="dxa"/>
              <w:end w:w="85" w:type="dxa"/>
            </w:tcMar>
          </w:tcPr>
          <w:p>
            <w:pPr>
              <w:spacing w:after="0"/>
              <w:jc w:val="left"/>
            </w:pPr>
            <w:r>
              <w:rPr>
                <w:b w:val="0"/>
              </w:rPr>
            </w:r>
            <w:r>
              <w:rPr>
                <w:rFonts w:ascii="Arial" w:hAnsi="Arial"/>
                <w:b w:val="0"/>
                <w:color w:val="17253A"/>
                <w:sz w:val="14"/>
              </w:rPr>
              <w:t>SEND, EAL, ADHD, ODD and individual needs</w:t>
              <w:br/>
              <w:t>[Add initials, triggers, communication needs, reasonable adjustments, movement or low-arousal choices, adult prompts and adapted recording.]</w:t>
            </w:r>
          </w:p>
        </w:tc>
        <w:tc>
          <w:tcPr>
            <w:tcW w:type="dxa" w:w="7315"/>
            <w:shd w:fill="F1F6F6"/>
            <w:vAlign w:val="center"/>
            <w:tcMar>
              <w:top w:w="65" w:type="dxa"/>
              <w:start w:w="85" w:type="dxa"/>
              <w:bottom w:w="65" w:type="dxa"/>
              <w:end w:w="85" w:type="dxa"/>
            </w:tcMar>
          </w:tcPr>
          <w:p>
            <w:pPr>
              <w:spacing w:after="0"/>
              <w:jc w:val="left"/>
            </w:pPr>
            <w:r>
              <w:rPr>
                <w:b w:val="0"/>
              </w:rPr>
            </w:r>
            <w:r>
              <w:rPr>
                <w:rFonts w:ascii="Arial" w:hAnsi="Arial"/>
                <w:b w:val="0"/>
                <w:color w:val="17253A"/>
                <w:sz w:val="14"/>
              </w:rPr>
              <w:t>Assessment notes and next steps</w:t>
              <w:br/>
              <w:t>[Add who is secure, the misconception seen, evidence from independent work and the exact next teaching step.]</w:t>
            </w:r>
          </w:p>
        </w:tc>
      </w:tr>
    </w:tbl>
    <w:p>
      <w:pPr>
        <w:spacing w:before="40" w:after="0"/>
        <w:jc w:val="center"/>
      </w:pPr>
      <w:r>
        <w:rPr>
          <w:rFonts w:ascii="Arial" w:hAnsi="Arial"/>
          <w:color w:val="5F6E7C"/>
          <w:sz w:val="14"/>
        </w:rPr>
        <w:t>Misconception to watch: Miro lists factors when the question asks for multiples.  |  Correction: Multiples continue from repeated multiplication. Factors divide the number exactly.</w:t>
      </w:r>
    </w:p>
    <w:sectPr w:rsidR="00FC693F" w:rsidRPr="0006063C" w:rsidSect="00034616">
      <w:pgSz w:w="15840" w:h="12240" w:orient="landscape"/>
      <w:pgMar w:top="518" w:right="605" w:bottom="490" w:left="60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