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t>Identify common factors</w:t>
      </w:r>
    </w:p>
    <w:p>
      <w:pPr>
        <w:spacing w:after="80"/>
        <w:jc w:val="center"/>
      </w:pPr>
      <w:r>
        <w:rPr>
          <w:rFonts w:ascii="Arial" w:hAnsi="Arial"/>
          <w:b/>
          <w:color w:val="2C6E73"/>
          <w:sz w:val="17"/>
        </w:rPr>
        <w:t>Year 6 Maths  |  Autumn  |  Week 5  |  Day 2  |  Editable teacher plan</w:t>
      </w:r>
    </w:p>
    <w:tbl>
      <w:tblPr>
        <w:tblW w:type="auto" w:w="0"/>
        <w:tblLayout w:type="fixed"/>
        <w:tblLook w:firstColumn="1" w:firstRow="1" w:lastColumn="0" w:lastRow="0" w:noHBand="0" w:noVBand="1" w:val="04A0"/>
      </w:tblPr>
      <w:tblGrid>
        <w:gridCol w:w="3657"/>
        <w:gridCol w:w="3657"/>
        <w:gridCol w:w="3657"/>
        <w:gridCol w:w="3657"/>
      </w:tblGrid>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Teacher and class</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Date and time</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r>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Learning intention</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To find common factors and the highest common factor.</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Resources</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Multiplication grids, factor rainbows, counters, hundred square, mini whiteboards.</w:t>
            </w:r>
          </w:p>
        </w:tc>
      </w:tr>
    </w:tbl>
    <w:p>
      <w:pPr>
        <w:spacing w:before="60" w:after="40"/>
      </w:pPr>
      <w:r>
        <w:rPr>
          <w:rFonts w:ascii="Arial" w:hAnsi="Arial"/>
          <w:b/>
          <w:color w:val="000000"/>
          <w:sz w:val="21"/>
        </w:rPr>
        <w:t>Supply teacher sequence  I do  We do  You do</w:t>
      </w:r>
    </w:p>
    <w:tbl>
      <w:tblPr>
        <w:tblW w:type="auto" w:w="0"/>
        <w:tblLook w:firstColumn="1" w:firstRow="1" w:lastColumn="0" w:lastRow="0" w:noHBand="0" w:noVBand="1" w:val="04A0"/>
      </w:tblPr>
      <w:tblGrid>
        <w:gridCol w:w="2926"/>
        <w:gridCol w:w="2926"/>
        <w:gridCol w:w="2926"/>
        <w:gridCol w:w="2926"/>
        <w:gridCol w:w="2926"/>
      </w:tblGrid>
      <w:tr>
        <w:trPr>
          <w:cantSplit/>
        </w:trPr>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Time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Phase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Teacher actions</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Pupil actions and assessment</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Slides</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0-6</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Ready and retrieve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Check equipment. Share LI. Use: Retrieve this prerequisite: Recall multiplication facts, recognise factor pairs and identify square and cube numbers.</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Mini-whiteboard responses identify the pre-teach group.</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6-20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I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Model: Find the highest common factor of 84 and 126. Think aloud: State whether the task concerns factors or multiples. Work systematically from the smallest possible factor or multiple. Check that the list is complete and use it to justify the conclusion. Answer: 42.</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Pupils track each step and explain why it follows.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3-5</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20-34</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We do</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Solve together: List the common factors of 36 and 60. Delay the reveal. Expected answer: 1, 2, 3, 4, 6 and 12.</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All pupils commit to a step before discussion. Check vocabulary and method.</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6-8</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34-54</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You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Set the selected worksheet section. Core question: Find the HCF of 96 and 144.</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Lower uses scaffold and adult prompts. Expected works independently. Higher proves and generalises.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9-11</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54-60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Review</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Exit question: Find the HCF of 96 and 144. Address Miro's error: A common factor must divide both numbers exactly.</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Record initials and one precise next step from the work, not confidence alone.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bl>
    <w:tbl>
      <w:tblPr>
        <w:tblW w:type="auto" w:w="0"/>
        <w:tblLook w:firstColumn="1" w:firstRow="1" w:lastColumn="0" w:lastRow="0" w:noHBand="0" w:noVBand="1" w:val="04A0"/>
      </w:tblPr>
      <w:tblGrid>
        <w:gridCol w:w="4877"/>
        <w:gridCol w:w="4877"/>
        <w:gridCol w:w="4877"/>
      </w:tblGrid>
      <w:tr>
        <w:trPr>
          <w:cantSplit/>
        </w:trPr>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Lower support</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Expected</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Higher and early finisher</w:t>
            </w:r>
          </w:p>
        </w:tc>
      </w:tr>
      <w:tr>
        <w:trPr>
          <w:cantSplit/>
        </w:trPr>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Smaller step and scaffold: List the common factors of 36 and 60. Use a worked first line, vocabulary prompt and adult check after each stage.</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Independent core: Find the HCF of 96 and 144. Require a complete method and check.</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Reasoning and depth: Two numbers have HCF 18. Give a possible pair greater than 50. Require proof, comparison or generalisation.</w:t>
            </w:r>
          </w:p>
        </w:tc>
      </w:tr>
    </w:tbl>
    <w:tbl>
      <w:tblPr>
        <w:tblW w:type="auto" w:w="0"/>
        <w:tblLook w:firstColumn="1" w:firstRow="1" w:lastColumn="0" w:lastRow="0" w:noHBand="0" w:noVBand="1" w:val="04A0"/>
      </w:tblPr>
      <w:tblGrid>
        <w:gridCol w:w="7315"/>
        <w:gridCol w:w="7315"/>
      </w:tblGrid>
      <w:tr>
        <w:trPr>
          <w:cantSplit/>
        </w:trPr>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Pre-teach and prior learning</w:t>
              <w:br/>
              <w:t>Secure the vocabulary and prerequisite knowledge needed for identify common factors. Recall multiplication facts, recognise factor pairs and identify square and cube numbers.</w:t>
            </w:r>
          </w:p>
        </w:tc>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Vocabulary</w:t>
              <w:br/>
              <w:t>factor, multiple, common, prime, composite, square, cube</w:t>
            </w:r>
          </w:p>
        </w:tc>
      </w:tr>
      <w:tr>
        <w:trPr>
          <w:cantSplit/>
        </w:trPr>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SEND, EAL, ADHD, ODD and individual needs</w:t>
              <w:br/>
              <w:t>[Add initials, triggers, communication needs, reasonable adjustments, movement or low-arousal choices, adult prompts and adapted recording.]</w:t>
            </w:r>
          </w:p>
        </w:tc>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Assessment notes and next steps</w:t>
              <w:br/>
              <w:t>[Add who is secure, the misconception seen, evidence from independent work and the exact next teaching step.]</w:t>
            </w:r>
          </w:p>
        </w:tc>
      </w:tr>
    </w:tbl>
    <w:p>
      <w:pPr>
        <w:spacing w:before="40" w:after="0"/>
        <w:jc w:val="center"/>
      </w:pPr>
      <w:r>
        <w:rPr>
          <w:rFonts w:ascii="Arial" w:hAnsi="Arial"/>
          <w:color w:val="5F6E7C"/>
          <w:sz w:val="14"/>
        </w:rPr>
        <w:t>Misconception to watch: Miro chooses the largest factor from either list rather than the largest shared factor.  |  Correction: A common factor must divide both numbers exactly.</w:t>
      </w:r>
    </w:p>
    <w:sectPr w:rsidR="00FC693F" w:rsidRPr="0006063C" w:rsidSect="00034616">
      <w:pgSz w:w="15840" w:h="12240" w:orient="landscape"/>
      <w:pgMar w:top="518" w:right="605" w:bottom="490" w:left="60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