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t>Reason with number properties</w:t>
      </w:r>
    </w:p>
    <w:p>
      <w:pPr>
        <w:spacing w:after="80"/>
        <w:jc w:val="center"/>
      </w:pPr>
      <w:r>
        <w:rPr>
          <w:rFonts w:ascii="Arial" w:hAnsi="Arial"/>
          <w:b/>
          <w:color w:val="2C6E73"/>
          <w:sz w:val="17"/>
        </w:rPr>
        <w:t>Year 6 Maths  |  Autumn  |  Week 5  |  Day 5  |  Editable teacher plan</w:t>
      </w:r>
    </w:p>
    <w:tbl>
      <w:tblPr>
        <w:tblW w:type="auto" w:w="0"/>
        <w:tblLayout w:type="fixed"/>
        <w:tblLook w:firstColumn="1" w:firstRow="1" w:lastColumn="0" w:lastRow="0" w:noHBand="0" w:noVBand="1" w:val="04A0"/>
      </w:tblPr>
      <w:tblGrid>
        <w:gridCol w:w="3657"/>
        <w:gridCol w:w="3657"/>
        <w:gridCol w:w="3657"/>
        <w:gridCol w:w="3657"/>
      </w:tblGrid>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Teacher and class</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Date and time</w:t>
            </w:r>
          </w:p>
        </w:tc>
        <w:tc>
          <w:tcPr>
            <w:tcW w:type="dxa" w:w="3657"/>
            <w:shd w:fill="FFFFFF"/>
            <w:vAlign w:val="center"/>
            <w:tcMar>
              <w:top w:w="65" w:type="dxa"/>
              <w:start w:w="85" w:type="dxa"/>
              <w:bottom w:w="65" w:type="dxa"/>
              <w:end w:w="85" w:type="dxa"/>
            </w:tcMar>
          </w:tcPr>
          <w:p>
            <w:pPr>
              <w:spacing w:after="0"/>
              <w:jc w:val="left"/>
            </w:pPr>
            <w:r/>
            <w:r>
              <w:rPr>
                <w:rFonts w:ascii="Arial" w:hAnsi="Arial"/>
                <w:b w:val="0"/>
                <w:color w:val="17253A"/>
                <w:sz w:val="15"/>
              </w:rPr>
              <w:t>[Type here]</w:t>
            </w:r>
          </w:p>
        </w:tc>
      </w:tr>
      <w:tr>
        <w:trPr>
          <w:cantSplit/>
        </w:trPr>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Learning intention</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To solve problems using factors, multiples and primes.</w:t>
            </w:r>
          </w:p>
        </w:tc>
        <w:tc>
          <w:tcPr>
            <w:tcW w:type="dxa" w:w="3657"/>
            <w:shd w:fill="18324A"/>
            <w:vAlign w:val="center"/>
            <w:tcMar>
              <w:top w:w="65" w:type="dxa"/>
              <w:start w:w="85" w:type="dxa"/>
              <w:bottom w:w="65" w:type="dxa"/>
              <w:end w:w="85" w:type="dxa"/>
            </w:tcMar>
          </w:tcPr>
          <w:p>
            <w:pPr>
              <w:spacing w:after="0"/>
              <w:jc w:val="left"/>
            </w:pPr>
            <w:r/>
            <w:r>
              <w:rPr>
                <w:rFonts w:ascii="Arial" w:hAnsi="Arial"/>
                <w:b/>
                <w:color w:val="FFFFFF"/>
                <w:sz w:val="15"/>
              </w:rPr>
              <w:t>Resources</w:t>
            </w:r>
          </w:p>
        </w:tc>
        <w:tc>
          <w:tcPr>
            <w:tcW w:type="dxa" w:w="3657"/>
            <w:shd w:fill="F1F6F6"/>
            <w:vAlign w:val="center"/>
            <w:tcMar>
              <w:top w:w="65" w:type="dxa"/>
              <w:start w:w="85" w:type="dxa"/>
              <w:bottom w:w="65" w:type="dxa"/>
              <w:end w:w="85" w:type="dxa"/>
            </w:tcMar>
          </w:tcPr>
          <w:p>
            <w:pPr>
              <w:spacing w:after="0"/>
              <w:jc w:val="left"/>
            </w:pPr>
            <w:r/>
            <w:r>
              <w:rPr>
                <w:rFonts w:ascii="Arial" w:hAnsi="Arial"/>
                <w:b w:val="0"/>
                <w:color w:val="17253A"/>
                <w:sz w:val="15"/>
              </w:rPr>
              <w:t>Multiplication grids, factor rainbows, counters, hundred square, mini whiteboards.</w:t>
            </w:r>
          </w:p>
        </w:tc>
      </w:tr>
    </w:tbl>
    <w:p>
      <w:pPr>
        <w:spacing w:before="60" w:after="40"/>
      </w:pPr>
      <w:r>
        <w:rPr>
          <w:rFonts w:ascii="Arial" w:hAnsi="Arial"/>
          <w:b/>
          <w:color w:val="000000"/>
          <w:sz w:val="21"/>
        </w:rPr>
        <w:t>Supply teacher sequence  I do  We do  You do</w:t>
      </w:r>
    </w:p>
    <w:tbl>
      <w:tblPr>
        <w:tblW w:type="auto" w:w="0"/>
        <w:tblLook w:firstColumn="1" w:firstRow="1" w:lastColumn="0" w:lastRow="0" w:noHBand="0" w:noVBand="1" w:val="04A0"/>
      </w:tblPr>
      <w:tblGrid>
        <w:gridCol w:w="2926"/>
        <w:gridCol w:w="2926"/>
        <w:gridCol w:w="2926"/>
        <w:gridCol w:w="2926"/>
        <w:gridCol w:w="2926"/>
      </w:tblGrid>
      <w:tr>
        <w:trPr>
          <w:cantSplit/>
        </w:trPr>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Time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Phase</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Teacher actions</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Pupil actions and assessment</w:t>
            </w:r>
          </w:p>
        </w:tc>
        <w:tc>
          <w:tcPr>
            <w:tcW w:type="dxa" w:w="2926"/>
            <w:shd w:fill="18324A"/>
            <w:vAlign w:val="center"/>
            <w:tcMar>
              <w:top w:w="65" w:type="dxa"/>
              <w:start w:w="85" w:type="dxa"/>
              <w:bottom w:w="65" w:type="dxa"/>
              <w:end w:w="85" w:type="dxa"/>
            </w:tcMar>
          </w:tcPr>
          <w:p>
            <w:pPr>
              <w:spacing w:after="0"/>
              <w:jc w:val="center"/>
            </w:pPr>
            <w:r/>
            <w:r>
              <w:rPr>
                <w:rFonts w:ascii="Arial" w:hAnsi="Arial"/>
                <w:b/>
                <w:color w:val="FFFFFF"/>
                <w:sz w:val="15"/>
              </w:rPr>
              <w:t>Slides</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0-6</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Ready and retrieve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Check equipment. Share LI. Use: Retrieve this prerequisite: Recall multiplication facts, recognise factor pairs and identify square and cube numbers.</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Mini-whiteboard responses identify the pre-teach group.</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6-20</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I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Model: Find the smallest number divisible by 6, 8 and 9. Think aloud: State whether the task concerns factors or multiples. Work systematically from the smallest possible factor or multiple. Check that the list is complete and use it to justify the conclusion. Answer: 72.</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Pupils track each step and explain why it follows.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3-5</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20-34</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We do</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Solve together: A rectangle has area 96 square units and whole-number sides. Give every possible side pair. Delay the reveal. Expected answer: 1 x 96, 2 x 48, 3 x 32, 4 x 24, 6 x 16 and 8 x 12.</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All pupils commit to a step before discussion. Check vocabulary and method.</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6-8</w:t>
            </w:r>
          </w:p>
        </w:tc>
      </w:tr>
      <w:tr>
        <w:trPr>
          <w:cantSplit/>
        </w:trPr>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34-54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You do</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Set the selected worksheet section. Core question: Which prime factors make 84?</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Lower uses scaffold and adult prompts. Expected works independently. Higher proves and generalises.</w:t>
            </w:r>
          </w:p>
        </w:tc>
        <w:tc>
          <w:tcPr>
            <w:tcW w:type="dxa" w:w="2926"/>
            <w:shd w:fill="F1F6F6"/>
            <w:vAlign w:val="center"/>
            <w:tcMar>
              <w:top w:w="65" w:type="dxa"/>
              <w:start w:w="85" w:type="dxa"/>
              <w:bottom w:w="65" w:type="dxa"/>
              <w:end w:w="85" w:type="dxa"/>
            </w:tcMar>
          </w:tcPr>
          <w:p>
            <w:pPr>
              <w:spacing w:after="0"/>
              <w:jc w:val="left"/>
            </w:pPr>
            <w:r/>
            <w:r>
              <w:rPr>
                <w:rFonts w:ascii="Arial" w:hAnsi="Arial"/>
                <w:b w:val="0"/>
                <w:color w:val="17253A"/>
                <w:sz w:val="14"/>
              </w:rPr>
              <w:t>9-11</w:t>
            </w:r>
          </w:p>
        </w:tc>
      </w:tr>
      <w:tr>
        <w:trPr>
          <w:cantSplit/>
        </w:trPr>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54-60</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Review</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Exit question: Which prime factors make 84? Address Miro's error: Odd composite numbers have factors other than 1 and themselves, for example 9 and 15.</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Record initials and one precise next step from the work, not confidence alone.</w:t>
            </w:r>
          </w:p>
        </w:tc>
        <w:tc>
          <w:tcPr>
            <w:tcW w:type="dxa" w:w="2926"/>
            <w:shd w:fill="FFFFFF"/>
            <w:vAlign w:val="center"/>
            <w:tcMar>
              <w:top w:w="65" w:type="dxa"/>
              <w:start w:w="85" w:type="dxa"/>
              <w:bottom w:w="65" w:type="dxa"/>
              <w:end w:w="85" w:type="dxa"/>
            </w:tcMar>
          </w:tcPr>
          <w:p>
            <w:pPr>
              <w:spacing w:after="0"/>
              <w:jc w:val="left"/>
            </w:pPr>
            <w:r/>
            <w:r>
              <w:rPr>
                <w:rFonts w:ascii="Arial" w:hAnsi="Arial"/>
                <w:b w:val="0"/>
                <w:color w:val="17253A"/>
                <w:sz w:val="14"/>
              </w:rPr>
              <w:t>12</w:t>
            </w:r>
          </w:p>
        </w:tc>
      </w:tr>
    </w:tbl>
    <w:tbl>
      <w:tblPr>
        <w:tblW w:type="auto" w:w="0"/>
        <w:tblLook w:firstColumn="1" w:firstRow="1" w:lastColumn="0" w:lastRow="0" w:noHBand="0" w:noVBand="1" w:val="04A0"/>
      </w:tblPr>
      <w:tblGrid>
        <w:gridCol w:w="4877"/>
        <w:gridCol w:w="4877"/>
        <w:gridCol w:w="4877"/>
      </w:tblGrid>
      <w:tr>
        <w:trPr>
          <w:cantSplit/>
        </w:trPr>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Lower support</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Expected</w:t>
            </w:r>
          </w:p>
        </w:tc>
        <w:tc>
          <w:tcPr>
            <w:tcW w:type="dxa" w:w="4877"/>
            <w:shd w:fill="2C6E73"/>
            <w:vAlign w:val="center"/>
            <w:tcMar>
              <w:top w:w="65" w:type="dxa"/>
              <w:start w:w="85" w:type="dxa"/>
              <w:bottom w:w="65" w:type="dxa"/>
              <w:end w:w="85" w:type="dxa"/>
            </w:tcMar>
          </w:tcPr>
          <w:p>
            <w:pPr>
              <w:spacing w:after="0"/>
              <w:jc w:val="center"/>
            </w:pPr>
            <w:r/>
            <w:r>
              <w:rPr>
                <w:rFonts w:ascii="Arial" w:hAnsi="Arial"/>
                <w:b/>
                <w:color w:val="FFFFFF"/>
                <w:sz w:val="15"/>
              </w:rPr>
              <w:t>Higher and early finisher</w:t>
            </w:r>
          </w:p>
        </w:tc>
      </w:tr>
      <w:tr>
        <w:trPr>
          <w:cantSplit/>
        </w:trPr>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Smaller step and scaffold: A rectangle has area 96 square units and whole-number sides. Give every possible side pair. Use a worked first line, vocabulary prompt and adult check after each stage.</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Independent core: Which prime factors make 84? Require a complete method and check.</w:t>
            </w:r>
          </w:p>
        </w:tc>
        <w:tc>
          <w:tcPr>
            <w:tcW w:type="dxa" w:w="4877"/>
            <w:shd w:fill="FBF7F0"/>
            <w:vAlign w:val="center"/>
            <w:tcMar>
              <w:top w:w="65" w:type="dxa"/>
              <w:start w:w="85" w:type="dxa"/>
              <w:bottom w:w="65" w:type="dxa"/>
              <w:end w:w="85" w:type="dxa"/>
            </w:tcMar>
          </w:tcPr>
          <w:p>
            <w:pPr>
              <w:spacing w:after="0"/>
              <w:jc w:val="left"/>
            </w:pPr>
            <w:r/>
            <w:r>
              <w:rPr>
                <w:rFonts w:ascii="Arial" w:hAnsi="Arial"/>
                <w:b w:val="0"/>
                <w:color w:val="17253A"/>
                <w:sz w:val="14"/>
              </w:rPr>
              <w:t>Reasoning and depth: Find two prime numbers with a sum of 60 and a difference of 14. Require proof, comparison or generalisation.</w:t>
            </w:r>
          </w:p>
        </w:tc>
      </w:tr>
    </w:tbl>
    <w:tbl>
      <w:tblPr>
        <w:tblW w:type="auto" w:w="0"/>
        <w:tblLook w:firstColumn="1" w:firstRow="1" w:lastColumn="0" w:lastRow="0" w:noHBand="0" w:noVBand="1" w:val="04A0"/>
      </w:tblPr>
      <w:tblGrid>
        <w:gridCol w:w="7315"/>
        <w:gridCol w:w="7315"/>
      </w:tblGrid>
      <w:tr>
        <w:trPr>
          <w:cantSplit/>
        </w:trPr>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Pre-teach and prior learning</w:t>
              <w:br/>
              <w:t>Secure the vocabulary and prerequisite knowledge needed for reason with number properties. Recall multiplication facts, recognise factor pairs and identify square and cube numbers.</w:t>
            </w:r>
          </w:p>
        </w:tc>
        <w:tc>
          <w:tcPr>
            <w:tcW w:type="dxa" w:w="7315"/>
            <w:shd w:fill="FFFFFF"/>
            <w:vAlign w:val="center"/>
            <w:tcMar>
              <w:top w:w="65" w:type="dxa"/>
              <w:start w:w="85" w:type="dxa"/>
              <w:bottom w:w="65" w:type="dxa"/>
              <w:end w:w="85" w:type="dxa"/>
            </w:tcMar>
          </w:tcPr>
          <w:p>
            <w:pPr>
              <w:spacing w:after="0"/>
              <w:jc w:val="left"/>
            </w:pPr>
            <w:r>
              <w:rPr>
                <w:b w:val="0"/>
              </w:rPr>
            </w:r>
            <w:r>
              <w:rPr>
                <w:rFonts w:ascii="Arial" w:hAnsi="Arial"/>
                <w:b w:val="0"/>
                <w:color w:val="17253A"/>
                <w:sz w:val="14"/>
              </w:rPr>
              <w:t>Vocabulary</w:t>
              <w:br/>
              <w:t>factor, multiple, common, prime, composite, square, cube</w:t>
            </w:r>
          </w:p>
        </w:tc>
      </w:tr>
      <w:tr>
        <w:trPr>
          <w:cantSplit/>
        </w:trPr>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SEND, EAL, ADHD, ODD and individual needs</w:t>
              <w:br/>
              <w:t>[Add initials, triggers, communication needs, reasonable adjustments, movement or low-arousal choices, adult prompts and adapted recording.]</w:t>
            </w:r>
          </w:p>
        </w:tc>
        <w:tc>
          <w:tcPr>
            <w:tcW w:type="dxa" w:w="7315"/>
            <w:shd w:fill="F1F6F6"/>
            <w:vAlign w:val="center"/>
            <w:tcMar>
              <w:top w:w="65" w:type="dxa"/>
              <w:start w:w="85" w:type="dxa"/>
              <w:bottom w:w="65" w:type="dxa"/>
              <w:end w:w="85" w:type="dxa"/>
            </w:tcMar>
          </w:tcPr>
          <w:p>
            <w:pPr>
              <w:spacing w:after="0"/>
              <w:jc w:val="left"/>
            </w:pPr>
            <w:r>
              <w:rPr>
                <w:b w:val="0"/>
              </w:rPr>
            </w:r>
            <w:r>
              <w:rPr>
                <w:rFonts w:ascii="Arial" w:hAnsi="Arial"/>
                <w:b w:val="0"/>
                <w:color w:val="17253A"/>
                <w:sz w:val="14"/>
              </w:rPr>
              <w:t>Assessment notes and next steps</w:t>
              <w:br/>
              <w:t>[Add who is secure, the misconception seen, evidence from independent work and the exact next teaching step.]</w:t>
            </w:r>
          </w:p>
        </w:tc>
      </w:tr>
    </w:tbl>
    <w:p>
      <w:pPr>
        <w:spacing w:before="40" w:after="0"/>
        <w:jc w:val="center"/>
      </w:pPr>
      <w:r>
        <w:rPr>
          <w:rFonts w:ascii="Arial" w:hAnsi="Arial"/>
          <w:color w:val="5F6E7C"/>
          <w:sz w:val="14"/>
        </w:rPr>
        <w:t>Misconception to watch: Miro assumes every odd number is prime.  |  Correction: Odd composite numbers have factors other than 1 and themselves, for example 9 and 15.</w:t>
      </w:r>
    </w:p>
    <w:sectPr w:rsidR="00FC693F" w:rsidRPr="0006063C" w:rsidSect="00034616">
      <w:pgSz w:w="15840" w:h="12240" w:orient="landscape"/>
      <w:pgMar w:top="518" w:right="605" w:bottom="490" w:left="60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