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d901b20c485944f9" /><Relationship Type="http://schemas.openxmlformats.org/officeDocument/2006/relationships/officeDocument" Target="/word/document.xml" Id="R731100c6988f4c8f" /><Relationship Type="http://schemas.microsoft.com/office/2011/relationships/webextensiontaskpanes" Target="/word/webextensions/taskpanes.xml" Id="Rcf473a5df76c46cd" /><Relationship Type="http://schemas.openxmlformats.org/package/2006/relationships/metadata/core-properties" Target="/package/services/metadata/core-properties/cb7f4540fd8748ce82810632e216e0ea.psmdcp" Id="R602c40a7b94c4e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effd14b4a8046f9" /><Relationship Type="http://schemas.openxmlformats.org/officeDocument/2006/relationships/webSettings" Target="/word/webSettings.xml" Id="R7389ea74449d4959" /><Relationship Type="http://schemas.openxmlformats.org/officeDocument/2006/relationships/fontTable" Target="/word/fontTable.xml" Id="R0d4d09bd0aa9468d" /><Relationship Type="http://schemas.openxmlformats.org/officeDocument/2006/relationships/settings" Target="/word/settings.xml" Id="R8de16f331dba416a" /><Relationship Type="http://schemas.openxmlformats.org/officeDocument/2006/relationships/styles" Target="/word/styles.xml" Id="R5fb3c31b6ce944c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2b993ea1378b45f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2b993ea1378b45f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f2d9881-8ce1-4424-a189-ec580fd657d9}">
  <we:reference id="6778ce98-cd3a-46d6-8342-281183c0cc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