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563EB"/>
          <w:sz w:val="22"/>
          <w:szCs w:val="22"/>
        </w:rPr>
        <w:t xml:space="preserve">PRODUCT &amp; TECHNICAL SPECIFICATION</w:t>
      </w:r>
    </w:p>
    <w:p>
      <w:pPr>
        <w:spacing w:after="300"/>
      </w:pPr>
      <w:r>
        <w:rPr>
          <w:b/>
          <w:bCs/>
          <w:color w:val="1D2A3A"/>
          <w:sz w:val="44"/>
          <w:szCs w:val="44"/>
        </w:rPr>
        <w:t xml:space="preserve">Personal Budget App — for Gary &amp; partner</w:t>
      </w:r>
    </w:p>
    <w:p>
      <w:pPr>
        <w:spacing w:after="120"/>
      </w:pPr>
      <w:r>
        <w:rPr>
          <w:i/>
          <w:iCs/>
          <w:color w:val="1D2A3A"/>
          <w:sz w:val="21"/>
          <w:szCs w:val="21"/>
        </w:rPr>
        <w:t xml:space="preserve">Native cross-platform app (React Native + Expo), local-only storage, built for a couple's monthly credit-card budgeting ritual.</w:t>
      </w:r>
    </w:p>
    <w:p>
      <w:pPr>
        <w:pBdr>
          <w:bottom w:val="single" w:color="CBD2D9" w:sz="6"/>
        </w:pBdr>
        <w:spacing w:after="200" w:before="100"/>
      </w:pPr>
    </w:p>
    <w:p>
      <w:pPr>
        <w:pStyle w:val="Heading1"/>
        <w:spacing w:after="200" w:before="400"/>
      </w:pPr>
      <w:r>
        <w:rPr>
          <w:b/>
          <w:bCs/>
          <w:color w:val="1D2A3A"/>
          <w:sz w:val="32"/>
          <w:szCs w:val="32"/>
        </w:rPr>
        <w:t xml:space="preserve">1. Purpose &amp; Core Workflow</w:t>
      </w:r>
    </w:p>
    <w:p>
      <w:pPr>
        <w:spacing w:after="120"/>
      </w:pPr>
      <w:r>
        <w:rPr>
          <w:color w:val="1D2A3A"/>
          <w:sz w:val="21"/>
          <w:szCs w:val="21"/>
        </w:rPr>
        <w:t xml:space="preserve">This app digitizes the exact process already in use on paper, without changing the ritual — just removing the arithmetic and adding visibility.</w:t>
      </w:r>
    </w:p>
    <w:p>
      <w:pPr>
        <w:pStyle w:val="Heading3"/>
        <w:spacing w:after="100" w:before="200"/>
      </w:pPr>
      <w:r>
        <w:rPr>
          <w:b/>
          <w:bCs/>
          <w:color w:val="2563EB"/>
          <w:sz w:val="22"/>
          <w:szCs w:val="22"/>
        </w:rPr>
        <w:t xml:space="preserve">The monthly ritual, as-is</w:t>
      </w:r>
    </w:p>
    <w:p>
      <w:pPr>
        <w:pStyle w:val="ListParagraph"/>
        <w:numPr>
          <w:ilvl w:val="0"/>
          <w:numId w:val="2"/>
        </w:numPr>
        <w:spacing w:after="60"/>
      </w:pPr>
      <w:r>
        <w:rPr>
          <w:color w:val="1D2A3A"/>
          <w:sz w:val="21"/>
          <w:szCs w:val="21"/>
        </w:rPr>
        <w:t xml:space="preserve">Sit together and log every transaction from the month, one by one, from each credit card statement/memory.</w:t>
      </w:r>
    </w:p>
    <w:p>
      <w:pPr>
        <w:pStyle w:val="ListParagraph"/>
        <w:numPr>
          <w:ilvl w:val="0"/>
          <w:numId w:val="2"/>
        </w:numPr>
        <w:spacing w:after="60"/>
      </w:pPr>
      <w:r>
        <w:rPr>
          <w:color w:val="1D2A3A"/>
          <w:sz w:val="21"/>
          <w:szCs w:val="21"/>
        </w:rPr>
        <w:t xml:space="preserve">Each transaction is tagged to a card and a spending category.</w:t>
      </w:r>
    </w:p>
    <w:p>
      <w:pPr>
        <w:pStyle w:val="ListParagraph"/>
        <w:numPr>
          <w:ilvl w:val="0"/>
          <w:numId w:val="2"/>
        </w:numPr>
        <w:spacing w:after="60"/>
      </w:pPr>
      <w:r>
        <w:rPr>
          <w:color w:val="1D2A3A"/>
          <w:sz w:val="21"/>
          <w:szCs w:val="21"/>
        </w:rPr>
        <w:t xml:space="preserve">Total spend per category is checked against what was planned for that category (the "ideal sheet").</w:t>
      </w:r>
    </w:p>
    <w:p>
      <w:pPr>
        <w:pStyle w:val="ListParagraph"/>
        <w:numPr>
          <w:ilvl w:val="0"/>
          <w:numId w:val="2"/>
        </w:numPr>
        <w:spacing w:after="60"/>
      </w:pPr>
      <w:r>
        <w:rPr>
          <w:color w:val="1D2A3A"/>
          <w:sz w:val="21"/>
          <w:szCs w:val="21"/>
        </w:rPr>
        <w:t xml:space="preserve">Total monthly spend is subtracted from salary.</w:t>
      </w:r>
    </w:p>
    <w:p>
      <w:pPr>
        <w:pStyle w:val="ListParagraph"/>
        <w:numPr>
          <w:ilvl w:val="0"/>
          <w:numId w:val="2"/>
        </w:numPr>
        <w:spacing w:after="60"/>
      </w:pPr>
      <w:r>
        <w:rPr>
          <w:color w:val="1D2A3A"/>
          <w:sz w:val="21"/>
          <w:szCs w:val="21"/>
        </w:rPr>
        <w:t xml:space="preserve">Fixed amounts for savings goals are subtracted next.</w:t>
      </w:r>
    </w:p>
    <w:p>
      <w:pPr>
        <w:pStyle w:val="ListParagraph"/>
        <w:numPr>
          <w:ilvl w:val="0"/>
          <w:numId w:val="2"/>
        </w:numPr>
        <w:spacing w:after="60"/>
      </w:pPr>
      <w:r>
        <w:rPr>
          <w:color w:val="1D2A3A"/>
          <w:sz w:val="21"/>
          <w:szCs w:val="21"/>
        </w:rPr>
        <w:t xml:space="preserve">What's left is the surplus.</w:t>
      </w:r>
    </w:p>
    <w:p>
      <w:pPr>
        <w:pStyle w:val="Heading3"/>
        <w:spacing w:after="100" w:before="200"/>
      </w:pPr>
      <w:r>
        <w:rPr>
          <w:b/>
          <w:bCs/>
          <w:color w:val="2563EB"/>
          <w:sz w:val="22"/>
          <w:szCs w:val="22"/>
        </w:rPr>
        <w:t xml:space="preserve">What the app changes</w:t>
      </w:r>
    </w:p>
    <w:p>
      <w:pPr>
        <w:pStyle w:val="ListParagraph"/>
        <w:numPr>
          <w:ilvl w:val="0"/>
          <w:numId w:val="2"/>
        </w:numPr>
        <w:spacing w:after="60"/>
      </w:pPr>
      <w:r>
        <w:rPr>
          <w:color w:val="1D2A3A"/>
          <w:sz w:val="21"/>
          <w:szCs w:val="21"/>
        </w:rPr>
        <w:t xml:space="preserve">All of the above happens automatically as transactions are entered — no manual subtraction.</w:t>
      </w:r>
    </w:p>
    <w:p>
      <w:pPr>
        <w:pStyle w:val="ListParagraph"/>
        <w:numPr>
          <w:ilvl w:val="0"/>
          <w:numId w:val="2"/>
        </w:numPr>
        <w:spacing w:after="60"/>
      </w:pPr>
      <w:r>
        <w:rPr>
          <w:color w:val="1D2A3A"/>
          <w:sz w:val="21"/>
          <w:szCs w:val="21"/>
        </w:rPr>
        <w:t xml:space="preserve">Historical trends become visible (this app makes that possible; a paper sheet doesn't).</w:t>
      </w:r>
    </w:p>
    <w:p>
      <w:pPr>
        <w:pStyle w:val="ListParagraph"/>
        <w:numPr>
          <w:ilvl w:val="0"/>
          <w:numId w:val="2"/>
        </w:numPr>
        <w:spacing w:after="60"/>
      </w:pPr>
      <w:r>
        <w:rPr>
          <w:color w:val="1D2A3A"/>
          <w:sz w:val="21"/>
          <w:szCs w:val="21"/>
        </w:rPr>
        <w:t xml:space="preserve">Both of you can review the same numbers on one phone, in real time, while talking through the sheet together.</w:t>
      </w:r>
    </w:p>
    <w:p>
      <w:pPr>
        <w:pStyle w:val="Heading1"/>
        <w:spacing w:after="200" w:before="400"/>
      </w:pPr>
      <w:r>
        <w:rPr>
          <w:b/>
          <w:bCs/>
          <w:color w:val="1D2A3A"/>
          <w:sz w:val="32"/>
          <w:szCs w:val="32"/>
        </w:rPr>
        <w:t xml:space="preserve">2. Design Direction</w:t>
      </w:r>
    </w:p>
    <w:p>
      <w:pPr>
        <w:spacing w:after="120"/>
      </w:pPr>
      <w:r>
        <w:rPr>
          <w:color w:val="1D2A3A"/>
          <w:sz w:val="21"/>
          <w:szCs w:val="21"/>
        </w:rPr>
        <w:t xml:space="preserve">Apple-native visual language — the app should feel like it belongs on iOS next to Wallet, Health, and Numbers. Not a generic cross-platform look.</w:t>
      </w:r>
    </w:p>
    <w:p>
      <w:pPr>
        <w:pStyle w:val="Heading3"/>
        <w:spacing w:after="100" w:before="200"/>
      </w:pPr>
      <w:r>
        <w:rPr>
          <w:b/>
          <w:bCs/>
          <w:color w:val="2563EB"/>
          <w:sz w:val="22"/>
          <w:szCs w:val="22"/>
        </w:rPr>
        <w:t xml:space="preserve">Visual principles</w:t>
      </w:r>
    </w:p>
    <w:p>
      <w:pPr>
        <w:pStyle w:val="ListParagraph"/>
        <w:numPr>
          <w:ilvl w:val="0"/>
          <w:numId w:val="2"/>
        </w:numPr>
        <w:spacing w:after="60"/>
      </w:pPr>
      <w:r>
        <w:rPr>
          <w:color w:val="1D2A3A"/>
          <w:sz w:val="21"/>
          <w:szCs w:val="21"/>
        </w:rPr>
        <w:t xml:space="preserve">Minimal surface area: generous white space, no visual clutter, one primary action per screen.</w:t>
      </w:r>
    </w:p>
    <w:p>
      <w:pPr>
        <w:pStyle w:val="ListParagraph"/>
        <w:numPr>
          <w:ilvl w:val="0"/>
          <w:numId w:val="2"/>
        </w:numPr>
        <w:spacing w:after="60"/>
      </w:pPr>
      <w:r>
        <w:rPr>
          <w:color w:val="1D2A3A"/>
          <w:sz w:val="21"/>
          <w:szCs w:val="21"/>
        </w:rPr>
        <w:t xml:space="preserve">SF Pro (system font) throughout; Dynamic Type support (respects the user's iOS text-size setting).</w:t>
      </w:r>
    </w:p>
    <w:p>
      <w:pPr>
        <w:pStyle w:val="ListParagraph"/>
        <w:numPr>
          <w:ilvl w:val="0"/>
          <w:numId w:val="2"/>
        </w:numPr>
        <w:spacing w:after="60"/>
      </w:pPr>
      <w:r>
        <w:rPr>
          <w:color w:val="1D2A3A"/>
          <w:sz w:val="21"/>
          <w:szCs w:val="21"/>
        </w:rPr>
        <w:t xml:space="preserve">Native iOS color system: system background colors, semantic colors (systemRed for over-budget, systemGreen for surplus/under-budget), full support for Light and Dark Mode via system appearance, not a custom toggle.</w:t>
      </w:r>
    </w:p>
    <w:p>
      <w:pPr>
        <w:pStyle w:val="ListParagraph"/>
        <w:numPr>
          <w:ilvl w:val="0"/>
          <w:numId w:val="2"/>
        </w:numPr>
        <w:spacing w:after="60"/>
      </w:pPr>
      <w:r>
        <w:rPr>
          <w:color w:val="1D2A3A"/>
          <w:sz w:val="21"/>
          <w:szCs w:val="21"/>
        </w:rPr>
        <w:t xml:space="preserve">Cards and lists use iOS-standard rounded corners (continuous corner radius, ~14pt), subtle shadows, standard 16pt margins.</w:t>
      </w:r>
    </w:p>
    <w:p>
      <w:pPr>
        <w:pStyle w:val="ListParagraph"/>
        <w:numPr>
          <w:ilvl w:val="0"/>
          <w:numId w:val="2"/>
        </w:numPr>
        <w:spacing w:after="60"/>
      </w:pPr>
      <w:r>
        <w:rPr>
          <w:color w:val="1D2A3A"/>
          <w:sz w:val="21"/>
          <w:szCs w:val="21"/>
        </w:rPr>
        <w:t xml:space="preserve">Tab bar navigation (bottom), matching Wallet / Apple's own finance-adjacent apps — not a hamburger menu.</w:t>
      </w:r>
    </w:p>
    <w:p>
      <w:pPr>
        <w:pStyle w:val="ListParagraph"/>
        <w:numPr>
          <w:ilvl w:val="0"/>
          <w:numId w:val="2"/>
        </w:numPr>
        <w:spacing w:after="60"/>
      </w:pPr>
      <w:r>
        <w:rPr>
          <w:color w:val="1D2A3A"/>
          <w:sz w:val="21"/>
          <w:szCs w:val="21"/>
        </w:rPr>
        <w:t xml:space="preserve">Numbers are the hero: large, bold, tabular (monospaced-digit) figures for amounts so columns of numbers align — this is what Apple's own Numbers and Stocks apps do.</w:t>
      </w:r>
    </w:p>
    <w:p>
      <w:pPr>
        <w:pStyle w:val="ListParagraph"/>
        <w:numPr>
          <w:ilvl w:val="0"/>
          <w:numId w:val="2"/>
        </w:numPr>
        <w:spacing w:after="60"/>
      </w:pPr>
      <w:r>
        <w:rPr>
          <w:color w:val="1D2A3A"/>
          <w:sz w:val="21"/>
          <w:szCs w:val="21"/>
        </w:rPr>
        <w:t xml:space="preserve">Category colors: a fixed, tasteful palette (12–14 hues) assigned once per category, used consistently across charts, icons, and lists so a category is recognizable by color alone.</w:t>
      </w:r>
    </w:p>
    <w:p>
      <w:pPr>
        <w:pStyle w:val="ListParagraph"/>
        <w:numPr>
          <w:ilvl w:val="0"/>
          <w:numId w:val="2"/>
        </w:numPr>
        <w:spacing w:after="60"/>
      </w:pPr>
      <w:r>
        <w:rPr>
          <w:color w:val="1D2A3A"/>
          <w:sz w:val="21"/>
          <w:szCs w:val="21"/>
        </w:rPr>
        <w:t xml:space="preserve">Charts rendered natively (Swift Charts if we go fully native later; for the Expo/RN build, Victory Native or React Native Skia — both render smooth, native-feeling charts, not web-embedded ones).</w:t>
      </w:r>
    </w:p>
    <w:p>
      <w:pPr>
        <w:pStyle w:val="Heading3"/>
        <w:spacing w:after="100" w:before="200"/>
      </w:pPr>
      <w:r>
        <w:rPr>
          <w:b/>
          <w:bCs/>
          <w:color w:val="2563EB"/>
          <w:sz w:val="22"/>
          <w:szCs w:val="22"/>
        </w:rPr>
        <w:t xml:space="preserve">Reference apps (functional inspiration, not code or assets)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560"/>
      </w:tblGrid>
      <w:tr>
        <w:trPr>
          <w:tblHeader/>
        </w:trPr>
        <w:tc>
          <w:tcPr>
            <w:tcW w:type="dxa" w:w="3200"/>
            <w:shd w:fill="1D2A3A" w:val="clear"/>
          </w:tcPr>
          <w:p>
            <w:r>
              <w:rPr>
                <w:b/>
                <w:bCs/>
                <w:color w:val="FFFFFF"/>
                <w:sz w:val="19"/>
                <w:szCs w:val="19"/>
              </w:rPr>
              <w:t xml:space="preserve">App</w:t>
            </w:r>
          </w:p>
        </w:tc>
        <w:tc>
          <w:tcPr>
            <w:tcW w:type="dxa" w:w="6560"/>
            <w:shd w:fill="1D2A3A" w:val="clear"/>
          </w:tcPr>
          <w:p>
            <w:r>
              <w:rPr>
                <w:b/>
                <w:bCs/>
                <w:color w:val="FFFFFF"/>
                <w:sz w:val="19"/>
                <w:szCs w:val="19"/>
              </w:rPr>
              <w:t xml:space="preserve">What we're borrowing</w:t>
            </w:r>
          </w:p>
        </w:tc>
      </w:tr>
      <w:tr>
        <w:tc>
          <w:tcPr>
            <w:tcW w:type="dxa" w:w="3200"/>
            <w:shd w:fill="FFFFFF" w:val="clear"/>
          </w:tcPr>
          <w:p>
            <w:r>
              <w:rPr>
                <w:color w:val="1D2A3A"/>
                <w:sz w:val="19"/>
                <w:szCs w:val="19"/>
              </w:rPr>
              <w:t xml:space="preserve">Copilot / Monarch Money</w:t>
            </w:r>
          </w:p>
        </w:tc>
        <w:tc>
          <w:tcPr>
            <w:tcW w:type="dxa" w:w="6560"/>
            <w:shd w:fill="FFFFFF" w:val="clear"/>
          </w:tcPr>
          <w:p>
            <w:r>
              <w:rPr>
                <w:color w:val="1D2A3A"/>
                <w:sz w:val="19"/>
                <w:szCs w:val="19"/>
              </w:rPr>
              <w:t xml:space="preserve">Category-first budgeting, clean monthly overview, budget-vs-actual bars</w:t>
            </w:r>
          </w:p>
        </w:tc>
      </w:tr>
      <w:tr>
        <w:tc>
          <w:tcPr>
            <w:tcW w:type="dxa" w:w="3200"/>
            <w:shd w:fill="EDEFF2" w:val="clear"/>
          </w:tcPr>
          <w:p>
            <w:r>
              <w:rPr>
                <w:color w:val="1D2A3A"/>
                <w:sz w:val="19"/>
                <w:szCs w:val="19"/>
              </w:rPr>
              <w:t xml:space="preserve">YNAB</w:t>
            </w:r>
          </w:p>
        </w:tc>
        <w:tc>
          <w:tcPr>
            <w:tcW w:type="dxa" w:w="6560"/>
            <w:shd w:fill="EDEFF2" w:val="clear"/>
          </w:tcPr>
          <w:p>
            <w:r>
              <w:rPr>
                <w:color w:val="1D2A3A"/>
                <w:sz w:val="19"/>
                <w:szCs w:val="19"/>
              </w:rPr>
              <w:t xml:space="preserve">"Money left to allocate" surplus concept, category envelopes</w:t>
            </w:r>
          </w:p>
        </w:tc>
      </w:tr>
      <w:tr>
        <w:tc>
          <w:tcPr>
            <w:tcW w:type="dxa" w:w="3200"/>
            <w:shd w:fill="FFFFFF" w:val="clear"/>
          </w:tcPr>
          <w:p>
            <w:r>
              <w:rPr>
                <w:color w:val="1D2A3A"/>
                <w:sz w:val="19"/>
                <w:szCs w:val="19"/>
              </w:rPr>
              <w:t xml:space="preserve">Apple Wallet</w:t>
            </w:r>
          </w:p>
        </w:tc>
        <w:tc>
          <w:tcPr>
            <w:tcW w:type="dxa" w:w="6560"/>
            <w:shd w:fill="FFFFFF" w:val="clear"/>
          </w:tcPr>
          <w:p>
            <w:r>
              <w:rPr>
                <w:color w:val="1D2A3A"/>
                <w:sz w:val="19"/>
                <w:szCs w:val="19"/>
              </w:rPr>
              <w:t xml:space="preserve">Card-first visual language, card carousel UI</w:t>
            </w:r>
          </w:p>
        </w:tc>
      </w:tr>
      <w:tr>
        <w:tc>
          <w:tcPr>
            <w:tcW w:type="dxa" w:w="3200"/>
            <w:shd w:fill="EDEFF2" w:val="clear"/>
          </w:tcPr>
          <w:p>
            <w:r>
              <w:rPr>
                <w:color w:val="1D2A3A"/>
                <w:sz w:val="19"/>
                <w:szCs w:val="19"/>
              </w:rPr>
              <w:t xml:space="preserve">Apple Stocks / Numbers</w:t>
            </w:r>
          </w:p>
        </w:tc>
        <w:tc>
          <w:tcPr>
            <w:tcW w:type="dxa" w:w="6560"/>
            <w:shd w:fill="EDEFF2" w:val="clear"/>
          </w:tcPr>
          <w:p>
            <w:r>
              <w:rPr>
                <w:color w:val="1D2A3A"/>
                <w:sz w:val="19"/>
                <w:szCs w:val="19"/>
              </w:rPr>
              <w:t xml:space="preserve">Tabular figures, native charts, light/dark polish</w:t>
            </w:r>
          </w:p>
        </w:tc>
      </w:tr>
    </w:tbl>
    <w:p>
      <w:pPr>
        <w:spacing w:after="120"/>
      </w:pPr>
      <w:r>
        <w:rPr>
          <w:color w:val="1D2A3A"/>
          <w:sz w:val="21"/>
          <w:szCs w:val="21"/>
        </w:rPr>
        <w:t xml:space="preserve">No copyrighted UI assets, icons, or code from these apps are used — only their functional patterns, which are not protectable design elements.</w:t>
      </w:r>
    </w:p>
    <w:p>
      <w:pPr>
        <w:pStyle w:val="Heading1"/>
        <w:spacing w:after="200" w:before="400"/>
      </w:pPr>
      <w:r>
        <w:rPr>
          <w:b/>
          <w:bCs/>
          <w:color w:val="1D2A3A"/>
          <w:sz w:val="32"/>
          <w:szCs w:val="32"/>
        </w:rPr>
        <w:t xml:space="preserve">3. Information Architecture — Screens</w:t>
      </w:r>
    </w:p>
    <w:p>
      <w:pPr>
        <w:pStyle w:val="Heading2"/>
        <w:spacing w:after="150" w:before="300"/>
      </w:pPr>
      <w:r>
        <w:rPr>
          <w:b/>
          <w:bCs/>
          <w:color w:val="1D2A3A"/>
          <w:sz w:val="26"/>
          <w:szCs w:val="26"/>
        </w:rPr>
        <w:t xml:space="preserve">3.1 Home / Dashboard (default tab)</w:t>
      </w:r>
    </w:p>
    <w:p>
      <w:pPr>
        <w:spacing w:after="120"/>
      </w:pPr>
      <w:r>
        <w:rPr>
          <w:color w:val="1D2A3A"/>
          <w:sz w:val="21"/>
          <w:szCs w:val="21"/>
        </w:rPr>
        <w:t xml:space="preserve">The single-glance monthly summary. This is what you open the app to see.</w:t>
      </w:r>
    </w:p>
    <w:p>
      <w:pPr>
        <w:pStyle w:val="ListParagraph"/>
        <w:numPr>
          <w:ilvl w:val="0"/>
          <w:numId w:val="2"/>
        </w:numPr>
        <w:spacing w:after="60"/>
      </w:pPr>
      <w:r>
        <w:rPr>
          <w:color w:val="1D2A3A"/>
          <w:sz w:val="21"/>
          <w:szCs w:val="21"/>
        </w:rPr>
        <w:t xml:space="preserve">Header: current month + year, with left/right arrows to move between months.</w:t>
      </w:r>
    </w:p>
    <w:p>
      <w:pPr>
        <w:pStyle w:val="ListParagraph"/>
        <w:numPr>
          <w:ilvl w:val="0"/>
          <w:numId w:val="2"/>
        </w:numPr>
        <w:spacing w:after="60"/>
      </w:pPr>
      <w:r>
        <w:rPr>
          <w:color w:val="1D2A3A"/>
          <w:sz w:val="21"/>
          <w:szCs w:val="21"/>
        </w:rPr>
        <w:t xml:space="preserve">Surplus hero card: large number showing this month's surplus (green) or shortfall (red), with the formula visible beneath it in small text: Salary − Spend − Savings Goals = Surplus.</w:t>
      </w:r>
    </w:p>
    <w:p>
      <w:pPr>
        <w:pStyle w:val="ListParagraph"/>
        <w:numPr>
          <w:ilvl w:val="0"/>
          <w:numId w:val="2"/>
        </w:numPr>
        <w:spacing w:after="60"/>
      </w:pPr>
      <w:r>
        <w:rPr>
          <w:color w:val="1D2A3A"/>
          <w:sz w:val="21"/>
          <w:szCs w:val="21"/>
        </w:rPr>
        <w:t xml:space="preserve">Quick stats row: Total Spent, Total Saved, Days Left in Month.</w:t>
      </w:r>
    </w:p>
    <w:p>
      <w:pPr>
        <w:pStyle w:val="ListParagraph"/>
        <w:numPr>
          <w:ilvl w:val="0"/>
          <w:numId w:val="2"/>
        </w:numPr>
        <w:spacing w:after="60"/>
      </w:pPr>
      <w:r>
        <w:rPr>
          <w:color w:val="1D2A3A"/>
          <w:sz w:val="21"/>
          <w:szCs w:val="21"/>
        </w:rPr>
        <w:t xml:space="preserve">Budget health strip: one thin horizontal bar per category showing actual vs. ideal limit, sorted worst-to-best (most over-budget first) so problems are visible immediately.</w:t>
      </w:r>
    </w:p>
    <w:p>
      <w:pPr>
        <w:pStyle w:val="ListParagraph"/>
        <w:numPr>
          <w:ilvl w:val="0"/>
          <w:numId w:val="2"/>
        </w:numPr>
        <w:spacing w:after="60"/>
      </w:pPr>
      <w:r>
        <w:rPr>
          <w:color w:val="1D2A3A"/>
          <w:sz w:val="21"/>
          <w:szCs w:val="21"/>
        </w:rPr>
        <w:t xml:space="preserve">Recent transactions: last 5 entries, tap to see all.</w:t>
      </w:r>
    </w:p>
    <w:p>
      <w:pPr>
        <w:pStyle w:val="ListParagraph"/>
        <w:numPr>
          <w:ilvl w:val="0"/>
          <w:numId w:val="2"/>
        </w:numPr>
        <w:spacing w:after="60"/>
      </w:pPr>
      <w:r>
        <w:rPr>
          <w:color w:val="1D2A3A"/>
          <w:sz w:val="21"/>
          <w:szCs w:val="21"/>
        </w:rPr>
        <w:t xml:space="preserve">Floating "+" button: always-visible quick-add for a new transaction.</w:t>
      </w:r>
    </w:p>
    <w:p>
      <w:pPr>
        <w:pStyle w:val="Heading2"/>
        <w:spacing w:after="150" w:before="300"/>
      </w:pPr>
      <w:r>
        <w:rPr>
          <w:b/>
          <w:bCs/>
          <w:color w:val="1D2A3A"/>
          <w:sz w:val="26"/>
          <w:szCs w:val="26"/>
        </w:rPr>
        <w:t xml:space="preserve">3.2 Transactions Tab</w:t>
      </w:r>
    </w:p>
    <w:p>
      <w:pPr>
        <w:pStyle w:val="ListParagraph"/>
        <w:numPr>
          <w:ilvl w:val="0"/>
          <w:numId w:val="2"/>
        </w:numPr>
        <w:spacing w:after="60"/>
      </w:pPr>
      <w:r>
        <w:rPr>
          <w:color w:val="1D2A3A"/>
          <w:sz w:val="21"/>
          <w:szCs w:val="21"/>
        </w:rPr>
        <w:t xml:space="preserve">Chronological list, grouped by day, newest first.</w:t>
      </w:r>
    </w:p>
    <w:p>
      <w:pPr>
        <w:pStyle w:val="ListParagraph"/>
        <w:numPr>
          <w:ilvl w:val="0"/>
          <w:numId w:val="2"/>
        </w:numPr>
        <w:spacing w:after="60"/>
      </w:pPr>
      <w:r>
        <w:rPr>
          <w:color w:val="1D2A3A"/>
          <w:sz w:val="21"/>
          <w:szCs w:val="21"/>
        </w:rPr>
        <w:t xml:space="preserve">Each row: category icon (colored), merchant/description, card used (small badge), amount.</w:t>
      </w:r>
    </w:p>
    <w:p>
      <w:pPr>
        <w:pStyle w:val="ListParagraph"/>
        <w:numPr>
          <w:ilvl w:val="0"/>
          <w:numId w:val="2"/>
        </w:numPr>
        <w:spacing w:after="60"/>
      </w:pPr>
      <w:r>
        <w:rPr>
          <w:color w:val="1D2A3A"/>
          <w:sz w:val="21"/>
          <w:szCs w:val="21"/>
        </w:rPr>
        <w:t xml:space="preserve">Filter bar at top: filter by card, by category, by date range.</w:t>
      </w:r>
    </w:p>
    <w:p>
      <w:pPr>
        <w:pStyle w:val="ListParagraph"/>
        <w:numPr>
          <w:ilvl w:val="0"/>
          <w:numId w:val="2"/>
        </w:numPr>
        <w:spacing w:after="60"/>
      </w:pPr>
      <w:r>
        <w:rPr>
          <w:color w:val="1D2A3A"/>
          <w:sz w:val="21"/>
          <w:szCs w:val="21"/>
        </w:rPr>
        <w:t xml:space="preserve">Search bar for merchant/description text.</w:t>
      </w:r>
    </w:p>
    <w:p>
      <w:pPr>
        <w:pStyle w:val="ListParagraph"/>
        <w:numPr>
          <w:ilvl w:val="0"/>
          <w:numId w:val="2"/>
        </w:numPr>
        <w:spacing w:after="60"/>
      </w:pPr>
      <w:r>
        <w:rPr>
          <w:color w:val="1D2A3A"/>
          <w:sz w:val="21"/>
          <w:szCs w:val="21"/>
        </w:rPr>
        <w:t xml:space="preserve">Swipe-to-delete, tap to edit.</w:t>
      </w:r>
    </w:p>
    <w:p>
      <w:pPr>
        <w:pStyle w:val="ListParagraph"/>
        <w:numPr>
          <w:ilvl w:val="0"/>
          <w:numId w:val="2"/>
        </w:numPr>
        <w:spacing w:after="60"/>
      </w:pPr>
      <w:r>
        <w:rPr>
          <w:color w:val="1D2A3A"/>
          <w:sz w:val="21"/>
          <w:szCs w:val="21"/>
        </w:rPr>
        <w:t xml:space="preserve">Add Transaction sheet (modal): Amount (numeric keypad), Category (grid of icons), Card (horizontal picker of your saved cards), Date (defaults to today, editable — since you often log a batch after the fact), optional Note.</w:t>
      </w:r>
    </w:p>
    <w:p>
      <w:pPr>
        <w:pStyle w:val="ListParagraph"/>
        <w:numPr>
          <w:ilvl w:val="0"/>
          <w:numId w:val="2"/>
        </w:numPr>
        <w:spacing w:after="60"/>
      </w:pPr>
      <w:r>
        <w:rPr>
          <w:color w:val="1D2A3A"/>
          <w:sz w:val="21"/>
          <w:szCs w:val="21"/>
        </w:rPr>
        <w:t xml:space="preserve">Bulk-entry mode: after opening "+", a "save &amp; add another" button keeps the sheet open with the same date/card pre-filled, so logging a whole statement in one sitting is fast — this maps directly to how you currently do it with your partner.</w:t>
      </w:r>
    </w:p>
    <w:p>
      <w:pPr>
        <w:pStyle w:val="Heading2"/>
        <w:spacing w:after="150" w:before="300"/>
      </w:pPr>
      <w:r>
        <w:rPr>
          <w:b/>
          <w:bCs/>
          <w:color w:val="1D2A3A"/>
          <w:sz w:val="26"/>
          <w:szCs w:val="26"/>
        </w:rPr>
        <w:t xml:space="preserve">3.3 Budget Tab (the "ideal sheet", digitized)</w:t>
      </w:r>
    </w:p>
    <w:p>
      <w:pPr>
        <w:pStyle w:val="ListParagraph"/>
        <w:numPr>
          <w:ilvl w:val="0"/>
          <w:numId w:val="2"/>
        </w:numPr>
        <w:spacing w:after="60"/>
      </w:pPr>
      <w:r>
        <w:rPr>
          <w:color w:val="1D2A3A"/>
          <w:sz w:val="21"/>
          <w:szCs w:val="21"/>
        </w:rPr>
        <w:t xml:space="preserve">List of all categories, each row editable: category name, icon, color, and monthly ideal limit amount.</w:t>
      </w:r>
    </w:p>
    <w:p>
      <w:pPr>
        <w:pStyle w:val="ListParagraph"/>
        <w:numPr>
          <w:ilvl w:val="0"/>
          <w:numId w:val="2"/>
        </w:numPr>
        <w:spacing w:after="60"/>
      </w:pPr>
      <w:r>
        <w:rPr>
          <w:color w:val="1D2A3A"/>
          <w:sz w:val="21"/>
          <w:szCs w:val="21"/>
        </w:rPr>
        <w:t xml:space="preserve">Add/remove/reorder categories.</w:t>
      </w:r>
    </w:p>
    <w:p>
      <w:pPr>
        <w:pStyle w:val="ListParagraph"/>
        <w:numPr>
          <w:ilvl w:val="0"/>
          <w:numId w:val="2"/>
        </w:numPr>
        <w:spacing w:after="60"/>
      </w:pPr>
      <w:r>
        <w:rPr>
          <w:color w:val="1D2A3A"/>
          <w:sz w:val="21"/>
          <w:szCs w:val="21"/>
        </w:rPr>
        <w:t xml:space="preserve">Each category row also shows this month's actual spend inline, with a progress bar (green under limit, amber near limit, red over limit).</w:t>
      </w:r>
    </w:p>
    <w:p>
      <w:pPr>
        <w:pStyle w:val="ListParagraph"/>
        <w:numPr>
          <w:ilvl w:val="0"/>
          <w:numId w:val="2"/>
        </w:numPr>
        <w:spacing w:after="60"/>
      </w:pPr>
      <w:r>
        <w:rPr>
          <w:color w:val="1D2A3A"/>
          <w:sz w:val="21"/>
          <w:szCs w:val="21"/>
        </w:rPr>
        <w:t xml:space="preserve">Tap a category to drill into its own detail screen: this month's transactions in that category, a small trend chart of that category over the last 6 months, and the limit editor.</w:t>
      </w:r>
    </w:p>
    <w:p>
      <w:pPr>
        <w:pStyle w:val="ListParagraph"/>
        <w:numPr>
          <w:ilvl w:val="0"/>
          <w:numId w:val="2"/>
        </w:numPr>
        <w:spacing w:after="60"/>
      </w:pPr>
      <w:r>
        <w:rPr>
          <w:color w:val="1D2A3A"/>
          <w:sz w:val="21"/>
          <w:szCs w:val="21"/>
        </w:rPr>
        <w:t xml:space="preserve">Salary &amp; Savings Goals section (same tab or a sub-section): Monthly salary input (can be a fixed number or edited each month if it varies). Savings goals list — name + fixed monthly amount (e.g., "Emergency fund — $500", "Vacation — $200"). Add/remove goals freely.</w:t>
      </w:r>
    </w:p>
    <w:p>
      <w:pPr>
        <w:pStyle w:val="Heading2"/>
        <w:spacing w:after="150" w:before="300"/>
      </w:pPr>
      <w:r>
        <w:rPr>
          <w:b/>
          <w:bCs/>
          <w:color w:val="1D2A3A"/>
          <w:sz w:val="26"/>
          <w:szCs w:val="26"/>
        </w:rPr>
        <w:t xml:space="preserve">3.4 Cards Tab</w:t>
      </w:r>
    </w:p>
    <w:p>
      <w:pPr>
        <w:pStyle w:val="ListParagraph"/>
        <w:numPr>
          <w:ilvl w:val="0"/>
          <w:numId w:val="2"/>
        </w:numPr>
        <w:spacing w:after="60"/>
      </w:pPr>
      <w:r>
        <w:rPr>
          <w:color w:val="1D2A3A"/>
          <w:sz w:val="21"/>
          <w:szCs w:val="21"/>
        </w:rPr>
        <w:t xml:space="preserve">Visual list of your 4–5 credit cards, styled like Apple Wallet cards (name, last 4 digits, a chosen color/gradient — no real card numbers or sensitive data stored, purely a label).</w:t>
      </w:r>
    </w:p>
    <w:p>
      <w:pPr>
        <w:pStyle w:val="ListParagraph"/>
        <w:numPr>
          <w:ilvl w:val="0"/>
          <w:numId w:val="2"/>
        </w:numPr>
        <w:spacing w:after="60"/>
      </w:pPr>
      <w:r>
        <w:rPr>
          <w:color w:val="1D2A3A"/>
          <w:sz w:val="21"/>
          <w:szCs w:val="21"/>
        </w:rPr>
        <w:t xml:space="preserve">Tap a card to see all transactions on that card, this month or filtered by range, plus a running total for that card.</w:t>
      </w:r>
    </w:p>
    <w:p>
      <w:pPr>
        <w:pStyle w:val="ListParagraph"/>
        <w:numPr>
          <w:ilvl w:val="0"/>
          <w:numId w:val="2"/>
        </w:numPr>
        <w:spacing w:after="60"/>
      </w:pPr>
      <w:r>
        <w:rPr>
          <w:color w:val="1D2A3A"/>
          <w:sz w:val="21"/>
          <w:szCs w:val="21"/>
        </w:rPr>
        <w:t xml:space="preserve">Add/edit/remove/reorder cards.</w:t>
      </w:r>
    </w:p>
    <w:p>
      <w:pPr>
        <w:pStyle w:val="Heading2"/>
        <w:spacing w:after="150" w:before="300"/>
      </w:pPr>
      <w:r>
        <w:rPr>
          <w:b/>
          <w:bCs/>
          <w:color w:val="1D2A3A"/>
          <w:sz w:val="26"/>
          <w:szCs w:val="26"/>
        </w:rPr>
        <w:t xml:space="preserve">3.5 Insights / Charts Tab</w:t>
      </w:r>
    </w:p>
    <w:p>
      <w:pPr>
        <w:pStyle w:val="ListParagraph"/>
        <w:numPr>
          <w:ilvl w:val="0"/>
          <w:numId w:val="2"/>
        </w:numPr>
        <w:spacing w:after="60"/>
      </w:pPr>
      <w:r>
        <w:rPr>
          <w:color w:val="1D2A3A"/>
          <w:sz w:val="21"/>
          <w:szCs w:val="21"/>
        </w:rPr>
        <w:t xml:space="preserve">Monthly trend line: total spend over the last 6–12 months.</w:t>
      </w:r>
    </w:p>
    <w:p>
      <w:pPr>
        <w:pStyle w:val="ListParagraph"/>
        <w:numPr>
          <w:ilvl w:val="0"/>
          <w:numId w:val="2"/>
        </w:numPr>
        <w:spacing w:after="60"/>
      </w:pPr>
      <w:r>
        <w:rPr>
          <w:color w:val="1D2A3A"/>
          <w:sz w:val="21"/>
          <w:szCs w:val="21"/>
        </w:rPr>
        <w:t xml:space="preserve">Category breakdown donut/pie chart for the selected month, tap a slice to see that category's transactions.</w:t>
      </w:r>
    </w:p>
    <w:p>
      <w:pPr>
        <w:pStyle w:val="ListParagraph"/>
        <w:numPr>
          <w:ilvl w:val="0"/>
          <w:numId w:val="2"/>
        </w:numPr>
        <w:spacing w:after="60"/>
      </w:pPr>
      <w:r>
        <w:rPr>
          <w:color w:val="1D2A3A"/>
          <w:sz w:val="21"/>
          <w:szCs w:val="21"/>
        </w:rPr>
        <w:t xml:space="preserve">Budget vs. Actual bar chart: one bar pair per category, ideal limit vs. actual, for the selected month.</w:t>
      </w:r>
    </w:p>
    <w:p>
      <w:pPr>
        <w:pStyle w:val="ListParagraph"/>
        <w:numPr>
          <w:ilvl w:val="0"/>
          <w:numId w:val="2"/>
        </w:numPr>
        <w:spacing w:after="60"/>
      </w:pPr>
      <w:r>
        <w:rPr>
          <w:color w:val="1D2A3A"/>
          <w:sz w:val="21"/>
          <w:szCs w:val="21"/>
        </w:rPr>
        <w:t xml:space="preserve">Card usage breakdown: how much was spent on each card this month (bar or donut).</w:t>
      </w:r>
    </w:p>
    <w:p>
      <w:pPr>
        <w:pStyle w:val="ListParagraph"/>
        <w:numPr>
          <w:ilvl w:val="0"/>
          <w:numId w:val="2"/>
        </w:numPr>
        <w:spacing w:after="60"/>
      </w:pPr>
      <w:r>
        <w:rPr>
          <w:color w:val="1D2A3A"/>
          <w:sz w:val="21"/>
          <w:szCs w:val="21"/>
        </w:rPr>
        <w:t xml:space="preserve">Surplus history: bar chart of surplus/shortfall per month over time, so trends in your saving rate are visible.</w:t>
      </w:r>
    </w:p>
    <w:p>
      <w:pPr>
        <w:pStyle w:val="ListParagraph"/>
        <w:numPr>
          <w:ilvl w:val="0"/>
          <w:numId w:val="2"/>
        </w:numPr>
        <w:spacing w:after="60"/>
      </w:pPr>
      <w:r>
        <w:rPr>
          <w:color w:val="1D2A3A"/>
          <w:sz w:val="21"/>
          <w:szCs w:val="21"/>
        </w:rPr>
        <w:t xml:space="preserve">Month picker/range picker at top of this tab, applies to all charts on the page.</w:t>
      </w:r>
    </w:p>
    <w:p>
      <w:pPr>
        <w:pStyle w:val="Heading2"/>
        <w:spacing w:after="150" w:before="300"/>
      </w:pPr>
      <w:r>
        <w:rPr>
          <w:b/>
          <w:bCs/>
          <w:color w:val="1D2A3A"/>
          <w:sz w:val="26"/>
          <w:szCs w:val="26"/>
        </w:rPr>
        <w:t xml:space="preserve">3.6 Settings</w:t>
      </w:r>
    </w:p>
    <w:p>
      <w:pPr>
        <w:pStyle w:val="ListParagraph"/>
        <w:numPr>
          <w:ilvl w:val="0"/>
          <w:numId w:val="2"/>
        </w:numPr>
        <w:spacing w:after="60"/>
      </w:pPr>
      <w:r>
        <w:rPr>
          <w:color w:val="1D2A3A"/>
          <w:sz w:val="21"/>
          <w:szCs w:val="21"/>
        </w:rPr>
        <w:t xml:space="preserve">Currency selection.</w:t>
      </w:r>
    </w:p>
    <w:p>
      <w:pPr>
        <w:pStyle w:val="ListParagraph"/>
        <w:numPr>
          <w:ilvl w:val="0"/>
          <w:numId w:val="2"/>
        </w:numPr>
        <w:spacing w:after="60"/>
      </w:pPr>
      <w:r>
        <w:rPr>
          <w:color w:val="1D2A3A"/>
          <w:sz w:val="21"/>
          <w:szCs w:val="21"/>
        </w:rPr>
        <w:t xml:space="preserve">Export data (CSV) — for backup, since data is local-only.</w:t>
      </w:r>
    </w:p>
    <w:p>
      <w:pPr>
        <w:pStyle w:val="ListParagraph"/>
        <w:numPr>
          <w:ilvl w:val="0"/>
          <w:numId w:val="2"/>
        </w:numPr>
        <w:spacing w:after="60"/>
      </w:pPr>
      <w:r>
        <w:rPr>
          <w:color w:val="1D2A3A"/>
          <w:sz w:val="21"/>
          <w:szCs w:val="21"/>
        </w:rPr>
        <w:t xml:space="preserve">Import data (CSV) — to restore from a backup or migrate from your existing sheet.</w:t>
      </w:r>
    </w:p>
    <w:p>
      <w:pPr>
        <w:pStyle w:val="ListParagraph"/>
        <w:numPr>
          <w:ilvl w:val="0"/>
          <w:numId w:val="2"/>
        </w:numPr>
        <w:spacing w:after="60"/>
      </w:pPr>
      <w:r>
        <w:rPr>
          <w:color w:val="1D2A3A"/>
          <w:sz w:val="21"/>
          <w:szCs w:val="21"/>
        </w:rPr>
        <w:t xml:space="preserve">Manage categories/cards shortcuts (same as Budget/Cards tabs).</w:t>
      </w:r>
    </w:p>
    <w:p>
      <w:pPr>
        <w:pStyle w:val="ListParagraph"/>
        <w:numPr>
          <w:ilvl w:val="0"/>
          <w:numId w:val="2"/>
        </w:numPr>
        <w:spacing w:after="60"/>
      </w:pPr>
      <w:r>
        <w:rPr>
          <w:color w:val="1D2A3A"/>
          <w:sz w:val="21"/>
          <w:szCs w:val="21"/>
        </w:rPr>
        <w:t xml:space="preserve">App appearance: follows system Light/Dark automatically (no manual override needed, but can add one if requested later).</w:t>
      </w:r>
    </w:p>
    <w:p>
      <w:pPr>
        <w:pStyle w:val="ListParagraph"/>
        <w:numPr>
          <w:ilvl w:val="0"/>
          <w:numId w:val="2"/>
        </w:numPr>
        <w:spacing w:after="60"/>
      </w:pPr>
      <w:r>
        <w:rPr>
          <w:color w:val="1D2A3A"/>
          <w:sz w:val="21"/>
          <w:szCs w:val="21"/>
        </w:rPr>
        <w:t xml:space="preserve">Face ID / passcode lock toggle (optional privacy layer, since it's financial data).</w:t>
      </w:r>
    </w:p>
    <w:p>
      <w:pPr>
        <w:pStyle w:val="Heading1"/>
        <w:spacing w:after="200" w:before="400"/>
      </w:pPr>
      <w:r>
        <w:rPr>
          <w:b/>
          <w:bCs/>
          <w:color w:val="1D2A3A"/>
          <w:sz w:val="32"/>
          <w:szCs w:val="32"/>
        </w:rPr>
        <w:t xml:space="preserve">4. Data Model</w:t>
      </w:r>
    </w:p>
    <w:p>
      <w:pPr>
        <w:spacing w:after="120"/>
      </w:pPr>
      <w:r>
        <w:rPr>
          <w:color w:val="1D2A3A"/>
          <w:sz w:val="21"/>
          <w:szCs w:val="21"/>
        </w:rPr>
        <w:t xml:space="preserve">All data lives only on your device (local SQLite database via Expo's SQLite module). No account, no login, no server, no analytics — matches how you described wanting to use it.</w:t>
      </w:r>
    </w:p>
    <w:p>
      <w:pPr>
        <w:pStyle w:val="Heading3"/>
        <w:spacing w:after="100" w:before="200"/>
      </w:pPr>
      <w:r>
        <w:rPr>
          <w:b/>
          <w:bCs/>
          <w:color w:val="2563EB"/>
          <w:sz w:val="22"/>
          <w:szCs w:val="22"/>
        </w:rPr>
        <w:t xml:space="preserve">4.1 Card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6760"/>
      </w:tblGrid>
      <w:tr>
        <w:trPr>
          <w:tblHeader/>
        </w:trPr>
        <w:tc>
          <w:tcPr>
            <w:tcW w:type="dxa" w:w="2400"/>
            <w:shd w:fill="1D2A3A" w:val="clear"/>
          </w:tcPr>
          <w:p>
            <w:r>
              <w:rPr>
                <w:b/>
                <w:bCs/>
                <w:color w:val="FFFFFF"/>
                <w:sz w:val="19"/>
                <w:szCs w:val="19"/>
              </w:rPr>
              <w:t xml:space="preserve">Field</w:t>
            </w:r>
          </w:p>
        </w:tc>
        <w:tc>
          <w:tcPr>
            <w:tcW w:type="dxa" w:w="2600"/>
            <w:shd w:fill="1D2A3A" w:val="clear"/>
          </w:tcPr>
          <w:p>
            <w:r>
              <w:rPr>
                <w:b/>
                <w:bCs/>
                <w:color w:val="FFFFFF"/>
                <w:sz w:val="19"/>
                <w:szCs w:val="19"/>
              </w:rPr>
              <w:t xml:space="preserve">Type</w:t>
            </w:r>
          </w:p>
        </w:tc>
        <w:tc>
          <w:tcPr>
            <w:tcW w:type="dxa" w:w="6760"/>
            <w:shd w:fill="1D2A3A" w:val="clear"/>
          </w:tcPr>
          <w:p>
            <w:r>
              <w:rPr>
                <w:b/>
                <w:bCs/>
                <w:color w:val="FFFFFF"/>
                <w:sz w:val="19"/>
                <w:szCs w:val="19"/>
              </w:rPr>
              <w:t xml:space="preserve">Notes</w:t>
            </w:r>
          </w:p>
        </w:tc>
      </w:tr>
      <w:tr>
        <w:tc>
          <w:tcPr>
            <w:tcW w:type="dxa" w:w="2400"/>
            <w:shd w:fill="FFFFFF" w:val="clear"/>
          </w:tcPr>
          <w:p>
            <w:r>
              <w:rPr>
                <w:color w:val="1D2A3A"/>
                <w:sz w:val="19"/>
                <w:szCs w:val="19"/>
              </w:rPr>
              <w:t xml:space="preserve">id</w:t>
            </w:r>
          </w:p>
        </w:tc>
        <w:tc>
          <w:tcPr>
            <w:tcW w:type="dxa" w:w="2600"/>
            <w:shd w:fill="FFFFFF" w:val="clear"/>
          </w:tcPr>
          <w:p>
            <w:r>
              <w:rPr>
                <w:color w:val="1D2A3A"/>
                <w:sz w:val="19"/>
                <w:szCs w:val="19"/>
              </w:rPr>
              <w:t xml:space="preserve">string (uuid)</w:t>
            </w:r>
          </w:p>
        </w:tc>
        <w:tc>
          <w:tcPr>
            <w:tcW w:type="dxa" w:w="6760"/>
            <w:shd w:fill="FFFFFF" w:val="clear"/>
          </w:tcPr>
          <w:p>
            <w:r>
              <w:rPr>
                <w:color w:val="1D2A3A"/>
                <w:sz w:val="19"/>
                <w:szCs w:val="19"/>
              </w:rPr>
              <w:t xml:space="preserve">Primary key</w:t>
            </w:r>
          </w:p>
        </w:tc>
      </w:tr>
      <w:tr>
        <w:tc>
          <w:tcPr>
            <w:tcW w:type="dxa" w:w="2400"/>
            <w:shd w:fill="EDEFF2" w:val="clear"/>
          </w:tcPr>
          <w:p>
            <w:r>
              <w:rPr>
                <w:color w:val="1D2A3A"/>
                <w:sz w:val="19"/>
                <w:szCs w:val="19"/>
              </w:rPr>
              <w:t xml:space="preserve">name</w:t>
            </w:r>
          </w:p>
        </w:tc>
        <w:tc>
          <w:tcPr>
            <w:tcW w:type="dxa" w:w="2600"/>
            <w:shd w:fill="EDEFF2" w:val="clear"/>
          </w:tcPr>
          <w:p>
            <w:r>
              <w:rPr>
                <w:color w:val="1D2A3A"/>
                <w:sz w:val="19"/>
                <w:szCs w:val="19"/>
              </w:rPr>
              <w:t xml:space="preserve">string</w:t>
            </w:r>
          </w:p>
        </w:tc>
        <w:tc>
          <w:tcPr>
            <w:tcW w:type="dxa" w:w="6760"/>
            <w:shd w:fill="EDEFF2" w:val="clear"/>
          </w:tcPr>
          <w:p>
            <w:r>
              <w:rPr>
                <w:color w:val="1D2A3A"/>
                <w:sz w:val="19"/>
                <w:szCs w:val="19"/>
              </w:rPr>
              <w:t xml:space="preserve">e.g. "Chase Sapphire"</w:t>
            </w:r>
          </w:p>
        </w:tc>
      </w:tr>
      <w:tr>
        <w:tc>
          <w:tcPr>
            <w:tcW w:type="dxa" w:w="2400"/>
            <w:shd w:fill="FFFFFF" w:val="clear"/>
          </w:tcPr>
          <w:p>
            <w:r>
              <w:rPr>
                <w:color w:val="1D2A3A"/>
                <w:sz w:val="19"/>
                <w:szCs w:val="19"/>
              </w:rPr>
              <w:t xml:space="preserve">lastFour</w:t>
            </w:r>
          </w:p>
        </w:tc>
        <w:tc>
          <w:tcPr>
            <w:tcW w:type="dxa" w:w="2600"/>
            <w:shd w:fill="FFFFFF" w:val="clear"/>
          </w:tcPr>
          <w:p>
            <w:r>
              <w:rPr>
                <w:color w:val="1D2A3A"/>
                <w:sz w:val="19"/>
                <w:szCs w:val="19"/>
              </w:rPr>
              <w:t xml:space="preserve">string (4 digits)</w:t>
            </w:r>
          </w:p>
        </w:tc>
        <w:tc>
          <w:tcPr>
            <w:tcW w:type="dxa" w:w="6760"/>
            <w:shd w:fill="FFFFFF" w:val="clear"/>
          </w:tcPr>
          <w:p>
            <w:r>
              <w:rPr>
                <w:color w:val="1D2A3A"/>
                <w:sz w:val="19"/>
                <w:szCs w:val="19"/>
              </w:rPr>
              <w:t xml:space="preserve">Label only, not validated as a real card</w:t>
            </w:r>
          </w:p>
        </w:tc>
      </w:tr>
      <w:tr>
        <w:tc>
          <w:tcPr>
            <w:tcW w:type="dxa" w:w="2400"/>
            <w:shd w:fill="EDEFF2" w:val="clear"/>
          </w:tcPr>
          <w:p>
            <w:r>
              <w:rPr>
                <w:color w:val="1D2A3A"/>
                <w:sz w:val="19"/>
                <w:szCs w:val="19"/>
              </w:rPr>
              <w:t xml:space="preserve">color</w:t>
            </w:r>
          </w:p>
        </w:tc>
        <w:tc>
          <w:tcPr>
            <w:tcW w:type="dxa" w:w="2600"/>
            <w:shd w:fill="EDEFF2" w:val="clear"/>
          </w:tcPr>
          <w:p>
            <w:r>
              <w:rPr>
                <w:color w:val="1D2A3A"/>
                <w:sz w:val="19"/>
                <w:szCs w:val="19"/>
              </w:rPr>
              <w:t xml:space="preserve">string (hex)</w:t>
            </w:r>
          </w:p>
        </w:tc>
        <w:tc>
          <w:tcPr>
            <w:tcW w:type="dxa" w:w="6760"/>
            <w:shd w:fill="EDEFF2" w:val="clear"/>
          </w:tcPr>
          <w:p>
            <w:r>
              <w:rPr>
                <w:color w:val="1D2A3A"/>
                <w:sz w:val="19"/>
                <w:szCs w:val="19"/>
              </w:rPr>
              <w:t xml:space="preserve">For the Wallet-style card UI</w:t>
            </w:r>
          </w:p>
        </w:tc>
      </w:tr>
      <w:tr>
        <w:tc>
          <w:tcPr>
            <w:tcW w:type="dxa" w:w="2400"/>
            <w:shd w:fill="FFFFFF" w:val="clear"/>
          </w:tcPr>
          <w:p>
            <w:r>
              <w:rPr>
                <w:color w:val="1D2A3A"/>
                <w:sz w:val="19"/>
                <w:szCs w:val="19"/>
              </w:rPr>
              <w:t xml:space="preserve">sortOrder</w:t>
            </w:r>
          </w:p>
        </w:tc>
        <w:tc>
          <w:tcPr>
            <w:tcW w:type="dxa" w:w="2600"/>
            <w:shd w:fill="FFFFFF" w:val="clear"/>
          </w:tcPr>
          <w:p>
            <w:r>
              <w:rPr>
                <w:color w:val="1D2A3A"/>
                <w:sz w:val="19"/>
                <w:szCs w:val="19"/>
              </w:rPr>
              <w:t xml:space="preserve">integer</w:t>
            </w:r>
          </w:p>
        </w:tc>
        <w:tc>
          <w:tcPr>
            <w:tcW w:type="dxa" w:w="6760"/>
            <w:shd w:fill="FFFFFF" w:val="clear"/>
          </w:tcPr>
          <w:p>
            <w:r>
              <w:rPr>
                <w:color w:val="1D2A3A"/>
                <w:sz w:val="19"/>
                <w:szCs w:val="19"/>
              </w:rPr>
              <w:t xml:space="preserve">Manual ordering in the Cards tab</w:t>
            </w:r>
          </w:p>
        </w:tc>
      </w:tr>
    </w:tbl>
    <w:p>
      <w:pPr>
        <w:pStyle w:val="Heading3"/>
        <w:spacing w:after="100" w:before="200"/>
      </w:pPr>
      <w:r>
        <w:rPr>
          <w:b/>
          <w:bCs/>
          <w:color w:val="2563EB"/>
          <w:sz w:val="22"/>
          <w:szCs w:val="22"/>
        </w:rPr>
        <w:t xml:space="preserve">4.2 Category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6760"/>
      </w:tblGrid>
      <w:tr>
        <w:trPr>
          <w:tblHeader/>
        </w:trPr>
        <w:tc>
          <w:tcPr>
            <w:tcW w:type="dxa" w:w="2400"/>
            <w:shd w:fill="1D2A3A" w:val="clear"/>
          </w:tcPr>
          <w:p>
            <w:r>
              <w:rPr>
                <w:b/>
                <w:bCs/>
                <w:color w:val="FFFFFF"/>
                <w:sz w:val="19"/>
                <w:szCs w:val="19"/>
              </w:rPr>
              <w:t xml:space="preserve">Field</w:t>
            </w:r>
          </w:p>
        </w:tc>
        <w:tc>
          <w:tcPr>
            <w:tcW w:type="dxa" w:w="2600"/>
            <w:shd w:fill="1D2A3A" w:val="clear"/>
          </w:tcPr>
          <w:p>
            <w:r>
              <w:rPr>
                <w:b/>
                <w:bCs/>
                <w:color w:val="FFFFFF"/>
                <w:sz w:val="19"/>
                <w:szCs w:val="19"/>
              </w:rPr>
              <w:t xml:space="preserve">Type</w:t>
            </w:r>
          </w:p>
        </w:tc>
        <w:tc>
          <w:tcPr>
            <w:tcW w:type="dxa" w:w="6760"/>
            <w:shd w:fill="1D2A3A" w:val="clear"/>
          </w:tcPr>
          <w:p>
            <w:r>
              <w:rPr>
                <w:b/>
                <w:bCs/>
                <w:color w:val="FFFFFF"/>
                <w:sz w:val="19"/>
                <w:szCs w:val="19"/>
              </w:rPr>
              <w:t xml:space="preserve">Notes</w:t>
            </w:r>
          </w:p>
        </w:tc>
      </w:tr>
      <w:tr>
        <w:tc>
          <w:tcPr>
            <w:tcW w:type="dxa" w:w="2400"/>
            <w:shd w:fill="FFFFFF" w:val="clear"/>
          </w:tcPr>
          <w:p>
            <w:r>
              <w:rPr>
                <w:color w:val="1D2A3A"/>
                <w:sz w:val="19"/>
                <w:szCs w:val="19"/>
              </w:rPr>
              <w:t xml:space="preserve">id</w:t>
            </w:r>
          </w:p>
        </w:tc>
        <w:tc>
          <w:tcPr>
            <w:tcW w:type="dxa" w:w="2600"/>
            <w:shd w:fill="FFFFFF" w:val="clear"/>
          </w:tcPr>
          <w:p>
            <w:r>
              <w:rPr>
                <w:color w:val="1D2A3A"/>
                <w:sz w:val="19"/>
                <w:szCs w:val="19"/>
              </w:rPr>
              <w:t xml:space="preserve">string (uuid)</w:t>
            </w:r>
          </w:p>
        </w:tc>
        <w:tc>
          <w:tcPr>
            <w:tcW w:type="dxa" w:w="6760"/>
            <w:shd w:fill="FFFFFF" w:val="clear"/>
          </w:tcPr>
          <w:p>
            <w:r>
              <w:rPr>
                <w:color w:val="1D2A3A"/>
                <w:sz w:val="19"/>
                <w:szCs w:val="19"/>
              </w:rPr>
              <w:t xml:space="preserve">Primary key</w:t>
            </w:r>
          </w:p>
        </w:tc>
      </w:tr>
      <w:tr>
        <w:tc>
          <w:tcPr>
            <w:tcW w:type="dxa" w:w="2400"/>
            <w:shd w:fill="EDEFF2" w:val="clear"/>
          </w:tcPr>
          <w:p>
            <w:r>
              <w:rPr>
                <w:color w:val="1D2A3A"/>
                <w:sz w:val="19"/>
                <w:szCs w:val="19"/>
              </w:rPr>
              <w:t xml:space="preserve">name</w:t>
            </w:r>
          </w:p>
        </w:tc>
        <w:tc>
          <w:tcPr>
            <w:tcW w:type="dxa" w:w="2600"/>
            <w:shd w:fill="EDEFF2" w:val="clear"/>
          </w:tcPr>
          <w:p>
            <w:r>
              <w:rPr>
                <w:color w:val="1D2A3A"/>
                <w:sz w:val="19"/>
                <w:szCs w:val="19"/>
              </w:rPr>
              <w:t xml:space="preserve">string</w:t>
            </w:r>
          </w:p>
        </w:tc>
        <w:tc>
          <w:tcPr>
            <w:tcW w:type="dxa" w:w="6760"/>
            <w:shd w:fill="EDEFF2" w:val="clear"/>
          </w:tcPr>
          <w:p>
            <w:r>
              <w:rPr>
                <w:color w:val="1D2A3A"/>
                <w:sz w:val="19"/>
                <w:szCs w:val="19"/>
              </w:rPr>
              <w:t xml:space="preserve">e.g. "Groceries", "Utilities", "Personal / Clothing"</w:t>
            </w:r>
          </w:p>
        </w:tc>
      </w:tr>
      <w:tr>
        <w:tc>
          <w:tcPr>
            <w:tcW w:type="dxa" w:w="2400"/>
            <w:shd w:fill="FFFFFF" w:val="clear"/>
          </w:tcPr>
          <w:p>
            <w:r>
              <w:rPr>
                <w:color w:val="1D2A3A"/>
                <w:sz w:val="19"/>
                <w:szCs w:val="19"/>
              </w:rPr>
              <w:t xml:space="preserve">icon</w:t>
            </w:r>
          </w:p>
        </w:tc>
        <w:tc>
          <w:tcPr>
            <w:tcW w:type="dxa" w:w="2600"/>
            <w:shd w:fill="FFFFFF" w:val="clear"/>
          </w:tcPr>
          <w:p>
            <w:r>
              <w:rPr>
                <w:color w:val="1D2A3A"/>
                <w:sz w:val="19"/>
                <w:szCs w:val="19"/>
              </w:rPr>
              <w:t xml:space="preserve">string</w:t>
            </w:r>
          </w:p>
        </w:tc>
        <w:tc>
          <w:tcPr>
            <w:tcW w:type="dxa" w:w="6760"/>
            <w:shd w:fill="FFFFFF" w:val="clear"/>
          </w:tcPr>
          <w:p>
            <w:r>
              <w:rPr>
                <w:color w:val="1D2A3A"/>
                <w:sz w:val="19"/>
                <w:szCs w:val="19"/>
              </w:rPr>
              <w:t xml:space="preserve">SF Symbol name</w:t>
            </w:r>
          </w:p>
        </w:tc>
      </w:tr>
      <w:tr>
        <w:tc>
          <w:tcPr>
            <w:tcW w:type="dxa" w:w="2400"/>
            <w:shd w:fill="EDEFF2" w:val="clear"/>
          </w:tcPr>
          <w:p>
            <w:r>
              <w:rPr>
                <w:color w:val="1D2A3A"/>
                <w:sz w:val="19"/>
                <w:szCs w:val="19"/>
              </w:rPr>
              <w:t xml:space="preserve">color</w:t>
            </w:r>
          </w:p>
        </w:tc>
        <w:tc>
          <w:tcPr>
            <w:tcW w:type="dxa" w:w="2600"/>
            <w:shd w:fill="EDEFF2" w:val="clear"/>
          </w:tcPr>
          <w:p>
            <w:r>
              <w:rPr>
                <w:color w:val="1D2A3A"/>
                <w:sz w:val="19"/>
                <w:szCs w:val="19"/>
              </w:rPr>
              <w:t xml:space="preserve">string (hex)</w:t>
            </w:r>
          </w:p>
        </w:tc>
        <w:tc>
          <w:tcPr>
            <w:tcW w:type="dxa" w:w="6760"/>
            <w:shd w:fill="EDEFF2" w:val="clear"/>
          </w:tcPr>
          <w:p>
            <w:r>
              <w:rPr>
                <w:color w:val="1D2A3A"/>
                <w:sz w:val="19"/>
                <w:szCs w:val="19"/>
              </w:rPr>
              <w:t xml:space="preserve">Fixed per category, used everywhere</w:t>
            </w:r>
          </w:p>
        </w:tc>
      </w:tr>
      <w:tr>
        <w:tc>
          <w:tcPr>
            <w:tcW w:type="dxa" w:w="2400"/>
            <w:shd w:fill="FFFFFF" w:val="clear"/>
          </w:tcPr>
          <w:p>
            <w:r>
              <w:rPr>
                <w:color w:val="1D2A3A"/>
                <w:sz w:val="19"/>
                <w:szCs w:val="19"/>
              </w:rPr>
              <w:t xml:space="preserve">monthlyLimit</w:t>
            </w:r>
          </w:p>
        </w:tc>
        <w:tc>
          <w:tcPr>
            <w:tcW w:type="dxa" w:w="2600"/>
            <w:shd w:fill="FFFFFF" w:val="clear"/>
          </w:tcPr>
          <w:p>
            <w:r>
              <w:rPr>
                <w:color w:val="1D2A3A"/>
                <w:sz w:val="19"/>
                <w:szCs w:val="19"/>
              </w:rPr>
              <w:t xml:space="preserve">decimal</w:t>
            </w:r>
          </w:p>
        </w:tc>
        <w:tc>
          <w:tcPr>
            <w:tcW w:type="dxa" w:w="6760"/>
            <w:shd w:fill="FFFFFF" w:val="clear"/>
          </w:tcPr>
          <w:p>
            <w:r>
              <w:rPr>
                <w:color w:val="1D2A3A"/>
                <w:sz w:val="19"/>
                <w:szCs w:val="19"/>
              </w:rPr>
              <w:t xml:space="preserve">The "ideal sheet" number — can change per month, see 4.5</w:t>
            </w:r>
          </w:p>
        </w:tc>
      </w:tr>
      <w:tr>
        <w:tc>
          <w:tcPr>
            <w:tcW w:type="dxa" w:w="2400"/>
            <w:shd w:fill="EDEFF2" w:val="clear"/>
          </w:tcPr>
          <w:p>
            <w:r>
              <w:rPr>
                <w:color w:val="1D2A3A"/>
                <w:sz w:val="19"/>
                <w:szCs w:val="19"/>
              </w:rPr>
              <w:t xml:space="preserve">sortOrder</w:t>
            </w:r>
          </w:p>
        </w:tc>
        <w:tc>
          <w:tcPr>
            <w:tcW w:type="dxa" w:w="2600"/>
            <w:shd w:fill="EDEFF2" w:val="clear"/>
          </w:tcPr>
          <w:p>
            <w:r>
              <w:rPr>
                <w:color w:val="1D2A3A"/>
                <w:sz w:val="19"/>
                <w:szCs w:val="19"/>
              </w:rPr>
              <w:t xml:space="preserve">integer</w:t>
            </w:r>
          </w:p>
        </w:tc>
        <w:tc>
          <w:tcPr>
            <w:tcW w:type="dxa" w:w="6760"/>
            <w:shd w:fill="EDEFF2" w:val="clear"/>
          </w:tcPr>
          <w:p>
            <w:r>
              <w:rPr>
                <w:color w:val="1D2A3A"/>
                <w:sz w:val="19"/>
                <w:szCs w:val="19"/>
              </w:rPr>
              <w:t xml:space="preserve">Manual ordering</w:t>
            </w:r>
          </w:p>
        </w:tc>
      </w:tr>
    </w:tbl>
    <w:p>
      <w:pPr>
        <w:pStyle w:val="Heading3"/>
        <w:spacing w:after="100" w:before="200"/>
      </w:pPr>
      <w:r>
        <w:rPr>
          <w:b/>
          <w:bCs/>
          <w:color w:val="2563EB"/>
          <w:sz w:val="22"/>
          <w:szCs w:val="22"/>
        </w:rPr>
        <w:t xml:space="preserve">4.3 Transaction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6760"/>
      </w:tblGrid>
      <w:tr>
        <w:trPr>
          <w:tblHeader/>
        </w:trPr>
        <w:tc>
          <w:tcPr>
            <w:tcW w:type="dxa" w:w="2400"/>
            <w:shd w:fill="1D2A3A" w:val="clear"/>
          </w:tcPr>
          <w:p>
            <w:r>
              <w:rPr>
                <w:b/>
                <w:bCs/>
                <w:color w:val="FFFFFF"/>
                <w:sz w:val="19"/>
                <w:szCs w:val="19"/>
              </w:rPr>
              <w:t xml:space="preserve">Field</w:t>
            </w:r>
          </w:p>
        </w:tc>
        <w:tc>
          <w:tcPr>
            <w:tcW w:type="dxa" w:w="2600"/>
            <w:shd w:fill="1D2A3A" w:val="clear"/>
          </w:tcPr>
          <w:p>
            <w:r>
              <w:rPr>
                <w:b/>
                <w:bCs/>
                <w:color w:val="FFFFFF"/>
                <w:sz w:val="19"/>
                <w:szCs w:val="19"/>
              </w:rPr>
              <w:t xml:space="preserve">Type</w:t>
            </w:r>
          </w:p>
        </w:tc>
        <w:tc>
          <w:tcPr>
            <w:tcW w:type="dxa" w:w="6760"/>
            <w:shd w:fill="1D2A3A" w:val="clear"/>
          </w:tcPr>
          <w:p>
            <w:r>
              <w:rPr>
                <w:b/>
                <w:bCs/>
                <w:color w:val="FFFFFF"/>
                <w:sz w:val="19"/>
                <w:szCs w:val="19"/>
              </w:rPr>
              <w:t xml:space="preserve">Notes</w:t>
            </w:r>
          </w:p>
        </w:tc>
      </w:tr>
      <w:tr>
        <w:tc>
          <w:tcPr>
            <w:tcW w:type="dxa" w:w="2400"/>
            <w:shd w:fill="FFFFFF" w:val="clear"/>
          </w:tcPr>
          <w:p>
            <w:r>
              <w:rPr>
                <w:color w:val="1D2A3A"/>
                <w:sz w:val="19"/>
                <w:szCs w:val="19"/>
              </w:rPr>
              <w:t xml:space="preserve">id</w:t>
            </w:r>
          </w:p>
        </w:tc>
        <w:tc>
          <w:tcPr>
            <w:tcW w:type="dxa" w:w="2600"/>
            <w:shd w:fill="FFFFFF" w:val="clear"/>
          </w:tcPr>
          <w:p>
            <w:r>
              <w:rPr>
                <w:color w:val="1D2A3A"/>
                <w:sz w:val="19"/>
                <w:szCs w:val="19"/>
              </w:rPr>
              <w:t xml:space="preserve">string (uuid)</w:t>
            </w:r>
          </w:p>
        </w:tc>
        <w:tc>
          <w:tcPr>
            <w:tcW w:type="dxa" w:w="6760"/>
            <w:shd w:fill="FFFFFF" w:val="clear"/>
          </w:tcPr>
          <w:p>
            <w:r>
              <w:rPr>
                <w:color w:val="1D2A3A"/>
                <w:sz w:val="19"/>
                <w:szCs w:val="19"/>
              </w:rPr>
              <w:t xml:space="preserve">Primary key</w:t>
            </w:r>
          </w:p>
        </w:tc>
      </w:tr>
      <w:tr>
        <w:tc>
          <w:tcPr>
            <w:tcW w:type="dxa" w:w="2400"/>
            <w:shd w:fill="EDEFF2" w:val="clear"/>
          </w:tcPr>
          <w:p>
            <w:r>
              <w:rPr>
                <w:color w:val="1D2A3A"/>
                <w:sz w:val="19"/>
                <w:szCs w:val="19"/>
              </w:rPr>
              <w:t xml:space="preserve">amount</w:t>
            </w:r>
          </w:p>
        </w:tc>
        <w:tc>
          <w:tcPr>
            <w:tcW w:type="dxa" w:w="2600"/>
            <w:shd w:fill="EDEFF2" w:val="clear"/>
          </w:tcPr>
          <w:p>
            <w:r>
              <w:rPr>
                <w:color w:val="1D2A3A"/>
                <w:sz w:val="19"/>
                <w:szCs w:val="19"/>
              </w:rPr>
              <w:t xml:space="preserve">decimal</w:t>
            </w:r>
          </w:p>
        </w:tc>
        <w:tc>
          <w:tcPr>
            <w:tcW w:type="dxa" w:w="6760"/>
            <w:shd w:fill="EDEFF2" w:val="clear"/>
          </w:tcPr>
          <w:p>
            <w:r>
              <w:rPr>
                <w:color w:val="1D2A3A"/>
                <w:sz w:val="19"/>
                <w:szCs w:val="19"/>
              </w:rPr>
              <w:t xml:space="preserve">Positive number, always an expense in v1</w:t>
            </w:r>
          </w:p>
        </w:tc>
      </w:tr>
      <w:tr>
        <w:tc>
          <w:tcPr>
            <w:tcW w:type="dxa" w:w="2400"/>
            <w:shd w:fill="FFFFFF" w:val="clear"/>
          </w:tcPr>
          <w:p>
            <w:r>
              <w:rPr>
                <w:color w:val="1D2A3A"/>
                <w:sz w:val="19"/>
                <w:szCs w:val="19"/>
              </w:rPr>
              <w:t xml:space="preserve">date</w:t>
            </w:r>
          </w:p>
        </w:tc>
        <w:tc>
          <w:tcPr>
            <w:tcW w:type="dxa" w:w="2600"/>
            <w:shd w:fill="FFFFFF" w:val="clear"/>
          </w:tcPr>
          <w:p>
            <w:r>
              <w:rPr>
                <w:color w:val="1D2A3A"/>
                <w:sz w:val="19"/>
                <w:szCs w:val="19"/>
              </w:rPr>
              <w:t xml:space="preserve">date</w:t>
            </w:r>
          </w:p>
        </w:tc>
        <w:tc>
          <w:tcPr>
            <w:tcW w:type="dxa" w:w="6760"/>
            <w:shd w:fill="FFFFFF" w:val="clear"/>
          </w:tcPr>
          <w:p>
            <w:r>
              <w:rPr>
                <w:color w:val="1D2A3A"/>
                <w:sz w:val="19"/>
                <w:szCs w:val="19"/>
              </w:rPr>
              <w:t xml:space="preserve">Editable — defaults to today</w:t>
            </w:r>
          </w:p>
        </w:tc>
      </w:tr>
      <w:tr>
        <w:tc>
          <w:tcPr>
            <w:tcW w:type="dxa" w:w="2400"/>
            <w:shd w:fill="EDEFF2" w:val="clear"/>
          </w:tcPr>
          <w:p>
            <w:r>
              <w:rPr>
                <w:color w:val="1D2A3A"/>
                <w:sz w:val="19"/>
                <w:szCs w:val="19"/>
              </w:rPr>
              <w:t xml:space="preserve">categoryId</w:t>
            </w:r>
          </w:p>
        </w:tc>
        <w:tc>
          <w:tcPr>
            <w:tcW w:type="dxa" w:w="2600"/>
            <w:shd w:fill="EDEFF2" w:val="clear"/>
          </w:tcPr>
          <w:p>
            <w:r>
              <w:rPr>
                <w:color w:val="1D2A3A"/>
                <w:sz w:val="19"/>
                <w:szCs w:val="19"/>
              </w:rPr>
              <w:t xml:space="preserve">string (fk)</w:t>
            </w:r>
          </w:p>
        </w:tc>
        <w:tc>
          <w:tcPr>
            <w:tcW w:type="dxa" w:w="6760"/>
            <w:shd w:fill="EDEFF2" w:val="clear"/>
          </w:tcPr>
          <w:p>
            <w:r>
              <w:rPr>
                <w:color w:val="1D2A3A"/>
                <w:sz w:val="19"/>
                <w:szCs w:val="19"/>
              </w:rPr>
              <w:t xml:space="preserve">→ Category</w:t>
            </w:r>
          </w:p>
        </w:tc>
      </w:tr>
      <w:tr>
        <w:tc>
          <w:tcPr>
            <w:tcW w:type="dxa" w:w="2400"/>
            <w:shd w:fill="FFFFFF" w:val="clear"/>
          </w:tcPr>
          <w:p>
            <w:r>
              <w:rPr>
                <w:color w:val="1D2A3A"/>
                <w:sz w:val="19"/>
                <w:szCs w:val="19"/>
              </w:rPr>
              <w:t xml:space="preserve">cardId</w:t>
            </w:r>
          </w:p>
        </w:tc>
        <w:tc>
          <w:tcPr>
            <w:tcW w:type="dxa" w:w="2600"/>
            <w:shd w:fill="FFFFFF" w:val="clear"/>
          </w:tcPr>
          <w:p>
            <w:r>
              <w:rPr>
                <w:color w:val="1D2A3A"/>
                <w:sz w:val="19"/>
                <w:szCs w:val="19"/>
              </w:rPr>
              <w:t xml:space="preserve">string (fk)</w:t>
            </w:r>
          </w:p>
        </w:tc>
        <w:tc>
          <w:tcPr>
            <w:tcW w:type="dxa" w:w="6760"/>
            <w:shd w:fill="FFFFFF" w:val="clear"/>
          </w:tcPr>
          <w:p>
            <w:r>
              <w:rPr>
                <w:color w:val="1D2A3A"/>
                <w:sz w:val="19"/>
                <w:szCs w:val="19"/>
              </w:rPr>
              <w:t xml:space="preserve">→ Card</w:t>
            </w:r>
          </w:p>
        </w:tc>
      </w:tr>
      <w:tr>
        <w:tc>
          <w:tcPr>
            <w:tcW w:type="dxa" w:w="2400"/>
            <w:shd w:fill="EDEFF2" w:val="clear"/>
          </w:tcPr>
          <w:p>
            <w:r>
              <w:rPr>
                <w:color w:val="1D2A3A"/>
                <w:sz w:val="19"/>
                <w:szCs w:val="19"/>
              </w:rPr>
              <w:t xml:space="preserve">note</w:t>
            </w:r>
          </w:p>
        </w:tc>
        <w:tc>
          <w:tcPr>
            <w:tcW w:type="dxa" w:w="2600"/>
            <w:shd w:fill="EDEFF2" w:val="clear"/>
          </w:tcPr>
          <w:p>
            <w:r>
              <w:rPr>
                <w:color w:val="1D2A3A"/>
                <w:sz w:val="19"/>
                <w:szCs w:val="19"/>
              </w:rPr>
              <w:t xml:space="preserve">string, optional</w:t>
            </w:r>
          </w:p>
        </w:tc>
        <w:tc>
          <w:tcPr>
            <w:tcW w:type="dxa" w:w="6760"/>
            <w:shd w:fill="EDEFF2" w:val="clear"/>
          </w:tcPr>
          <w:p>
            <w:r>
              <w:rPr>
                <w:color w:val="1D2A3A"/>
                <w:sz w:val="19"/>
                <w:szCs w:val="19"/>
              </w:rPr>
              <w:t xml:space="preserve">Free text — merchant name etc.</w:t>
            </w:r>
          </w:p>
        </w:tc>
      </w:tr>
      <w:tr>
        <w:tc>
          <w:tcPr>
            <w:tcW w:type="dxa" w:w="2400"/>
            <w:shd w:fill="FFFFFF" w:val="clear"/>
          </w:tcPr>
          <w:p>
            <w:r>
              <w:rPr>
                <w:color w:val="1D2A3A"/>
                <w:sz w:val="19"/>
                <w:szCs w:val="19"/>
              </w:rPr>
              <w:t xml:space="preserve">createdAt</w:t>
            </w:r>
          </w:p>
        </w:tc>
        <w:tc>
          <w:tcPr>
            <w:tcW w:type="dxa" w:w="2600"/>
            <w:shd w:fill="FFFFFF" w:val="clear"/>
          </w:tcPr>
          <w:p>
            <w:r>
              <w:rPr>
                <w:color w:val="1D2A3A"/>
                <w:sz w:val="19"/>
                <w:szCs w:val="19"/>
              </w:rPr>
              <w:t xml:space="preserve">timestamp</w:t>
            </w:r>
          </w:p>
        </w:tc>
        <w:tc>
          <w:tcPr>
            <w:tcW w:type="dxa" w:w="6760"/>
            <w:shd w:fill="FFFFFF" w:val="clear"/>
          </w:tcPr>
          <w:p>
            <w:r>
              <w:rPr>
                <w:color w:val="1D2A3A"/>
                <w:sz w:val="19"/>
                <w:szCs w:val="19"/>
              </w:rPr>
              <w:t xml:space="preserve">For audit/debug only</w:t>
            </w:r>
          </w:p>
        </w:tc>
      </w:tr>
    </w:tbl>
    <w:p>
      <w:pPr>
        <w:pStyle w:val="Heading3"/>
        <w:spacing w:after="100" w:before="200"/>
      </w:pPr>
      <w:r>
        <w:rPr>
          <w:b/>
          <w:bCs/>
          <w:color w:val="2563EB"/>
          <w:sz w:val="22"/>
          <w:szCs w:val="22"/>
        </w:rPr>
        <w:t xml:space="preserve">4.4 SavingsGoal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6760"/>
      </w:tblGrid>
      <w:tr>
        <w:trPr>
          <w:tblHeader/>
        </w:trPr>
        <w:tc>
          <w:tcPr>
            <w:tcW w:type="dxa" w:w="2400"/>
            <w:shd w:fill="1D2A3A" w:val="clear"/>
          </w:tcPr>
          <w:p>
            <w:r>
              <w:rPr>
                <w:b/>
                <w:bCs/>
                <w:color w:val="FFFFFF"/>
                <w:sz w:val="19"/>
                <w:szCs w:val="19"/>
              </w:rPr>
              <w:t xml:space="preserve">Field</w:t>
            </w:r>
          </w:p>
        </w:tc>
        <w:tc>
          <w:tcPr>
            <w:tcW w:type="dxa" w:w="2600"/>
            <w:shd w:fill="1D2A3A" w:val="clear"/>
          </w:tcPr>
          <w:p>
            <w:r>
              <w:rPr>
                <w:b/>
                <w:bCs/>
                <w:color w:val="FFFFFF"/>
                <w:sz w:val="19"/>
                <w:szCs w:val="19"/>
              </w:rPr>
              <w:t xml:space="preserve">Type</w:t>
            </w:r>
          </w:p>
        </w:tc>
        <w:tc>
          <w:tcPr>
            <w:tcW w:type="dxa" w:w="6760"/>
            <w:shd w:fill="1D2A3A" w:val="clear"/>
          </w:tcPr>
          <w:p>
            <w:r>
              <w:rPr>
                <w:b/>
                <w:bCs/>
                <w:color w:val="FFFFFF"/>
                <w:sz w:val="19"/>
                <w:szCs w:val="19"/>
              </w:rPr>
              <w:t xml:space="preserve">Notes</w:t>
            </w:r>
          </w:p>
        </w:tc>
      </w:tr>
      <w:tr>
        <w:tc>
          <w:tcPr>
            <w:tcW w:type="dxa" w:w="2400"/>
            <w:shd w:fill="FFFFFF" w:val="clear"/>
          </w:tcPr>
          <w:p>
            <w:r>
              <w:rPr>
                <w:color w:val="1D2A3A"/>
                <w:sz w:val="19"/>
                <w:szCs w:val="19"/>
              </w:rPr>
              <w:t xml:space="preserve">id</w:t>
            </w:r>
          </w:p>
        </w:tc>
        <w:tc>
          <w:tcPr>
            <w:tcW w:type="dxa" w:w="2600"/>
            <w:shd w:fill="FFFFFF" w:val="clear"/>
          </w:tcPr>
          <w:p>
            <w:r>
              <w:rPr>
                <w:color w:val="1D2A3A"/>
                <w:sz w:val="19"/>
                <w:szCs w:val="19"/>
              </w:rPr>
              <w:t xml:space="preserve">string (uuid)</w:t>
            </w:r>
          </w:p>
        </w:tc>
        <w:tc>
          <w:tcPr>
            <w:tcW w:type="dxa" w:w="6760"/>
            <w:shd w:fill="FFFFFF" w:val="clear"/>
          </w:tcPr>
          <w:p>
            <w:r>
              <w:rPr>
                <w:color w:val="1D2A3A"/>
                <w:sz w:val="19"/>
                <w:szCs w:val="19"/>
              </w:rPr>
              <w:t xml:space="preserve">Primary key</w:t>
            </w:r>
          </w:p>
        </w:tc>
      </w:tr>
      <w:tr>
        <w:tc>
          <w:tcPr>
            <w:tcW w:type="dxa" w:w="2400"/>
            <w:shd w:fill="EDEFF2" w:val="clear"/>
          </w:tcPr>
          <w:p>
            <w:r>
              <w:rPr>
                <w:color w:val="1D2A3A"/>
                <w:sz w:val="19"/>
                <w:szCs w:val="19"/>
              </w:rPr>
              <w:t xml:space="preserve">name</w:t>
            </w:r>
          </w:p>
        </w:tc>
        <w:tc>
          <w:tcPr>
            <w:tcW w:type="dxa" w:w="2600"/>
            <w:shd w:fill="EDEFF2" w:val="clear"/>
          </w:tcPr>
          <w:p>
            <w:r>
              <w:rPr>
                <w:color w:val="1D2A3A"/>
                <w:sz w:val="19"/>
                <w:szCs w:val="19"/>
              </w:rPr>
              <w:t xml:space="preserve">string</w:t>
            </w:r>
          </w:p>
        </w:tc>
        <w:tc>
          <w:tcPr>
            <w:tcW w:type="dxa" w:w="6760"/>
            <w:shd w:fill="EDEFF2" w:val="clear"/>
          </w:tcPr>
          <w:p>
            <w:r>
              <w:rPr>
                <w:color w:val="1D2A3A"/>
                <w:sz w:val="19"/>
                <w:szCs w:val="19"/>
              </w:rPr>
              <w:t xml:space="preserve">e.g. "Emergency Fund"</w:t>
            </w:r>
          </w:p>
        </w:tc>
      </w:tr>
      <w:tr>
        <w:tc>
          <w:tcPr>
            <w:tcW w:type="dxa" w:w="2400"/>
            <w:shd w:fill="FFFFFF" w:val="clear"/>
          </w:tcPr>
          <w:p>
            <w:r>
              <w:rPr>
                <w:color w:val="1D2A3A"/>
                <w:sz w:val="19"/>
                <w:szCs w:val="19"/>
              </w:rPr>
              <w:t xml:space="preserve">monthlyAmount</w:t>
            </w:r>
          </w:p>
        </w:tc>
        <w:tc>
          <w:tcPr>
            <w:tcW w:type="dxa" w:w="2600"/>
            <w:shd w:fill="FFFFFF" w:val="clear"/>
          </w:tcPr>
          <w:p>
            <w:r>
              <w:rPr>
                <w:color w:val="1D2A3A"/>
                <w:sz w:val="19"/>
                <w:szCs w:val="19"/>
              </w:rPr>
              <w:t xml:space="preserve">decimal</w:t>
            </w:r>
          </w:p>
        </w:tc>
        <w:tc>
          <w:tcPr>
            <w:tcW w:type="dxa" w:w="6760"/>
            <w:shd w:fill="FFFFFF" w:val="clear"/>
          </w:tcPr>
          <w:p>
            <w:r>
              <w:rPr>
                <w:color w:val="1D2A3A"/>
                <w:sz w:val="19"/>
                <w:szCs w:val="19"/>
              </w:rPr>
              <w:t xml:space="preserve">Fixed amount set aside each month</w:t>
            </w:r>
          </w:p>
        </w:tc>
      </w:tr>
      <w:tr>
        <w:tc>
          <w:tcPr>
            <w:tcW w:type="dxa" w:w="2400"/>
            <w:shd w:fill="EDEFF2" w:val="clear"/>
          </w:tcPr>
          <w:p>
            <w:r>
              <w:rPr>
                <w:color w:val="1D2A3A"/>
                <w:sz w:val="19"/>
                <w:szCs w:val="19"/>
              </w:rPr>
              <w:t xml:space="preserve">sortOrder</w:t>
            </w:r>
          </w:p>
        </w:tc>
        <w:tc>
          <w:tcPr>
            <w:tcW w:type="dxa" w:w="2600"/>
            <w:shd w:fill="EDEFF2" w:val="clear"/>
          </w:tcPr>
          <w:p>
            <w:r>
              <w:rPr>
                <w:color w:val="1D2A3A"/>
                <w:sz w:val="19"/>
                <w:szCs w:val="19"/>
              </w:rPr>
              <w:t xml:space="preserve">integer</w:t>
            </w:r>
          </w:p>
        </w:tc>
        <w:tc>
          <w:tcPr>
            <w:tcW w:type="dxa" w:w="6760"/>
            <w:shd w:fill="EDEFF2" w:val="clear"/>
          </w:tcPr>
          <w:p>
            <w:r>
              <w:rPr>
                <w:color w:val="1D2A3A"/>
                <w:sz w:val="19"/>
                <w:szCs w:val="19"/>
              </w:rPr>
              <w:t xml:space="preserve">Manual ordering</w:t>
            </w:r>
          </w:p>
        </w:tc>
      </w:tr>
    </w:tbl>
    <w:p>
      <w:pPr>
        <w:pStyle w:val="Heading3"/>
        <w:spacing w:after="100" w:before="200"/>
      </w:pPr>
      <w:r>
        <w:rPr>
          <w:b/>
          <w:bCs/>
          <w:color w:val="2563EB"/>
          <w:sz w:val="22"/>
          <w:szCs w:val="22"/>
        </w:rPr>
        <w:t xml:space="preserve">4.5 MonthlySettings</w:t>
      </w:r>
    </w:p>
    <w:p>
      <w:pPr>
        <w:spacing w:after="120"/>
      </w:pPr>
      <w:r>
        <w:rPr>
          <w:color w:val="1D2A3A"/>
          <w:sz w:val="21"/>
          <w:szCs w:val="21"/>
        </w:rPr>
        <w:t xml:space="preserve">Salary can vary month to month (bonuses, overtime, etc.), so it's tracked per month rather than as one fixed global number. Category limits are fixed globally per your stated requirement (Q&amp;A confirmed: no month-to-month limit variation needed), so they live on Category directly, not here.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6760"/>
      </w:tblGrid>
      <w:tr>
        <w:trPr>
          <w:tblHeader/>
        </w:trPr>
        <w:tc>
          <w:tcPr>
            <w:tcW w:type="dxa" w:w="2400"/>
            <w:shd w:fill="1D2A3A" w:val="clear"/>
          </w:tcPr>
          <w:p>
            <w:r>
              <w:rPr>
                <w:b/>
                <w:bCs/>
                <w:color w:val="FFFFFF"/>
                <w:sz w:val="19"/>
                <w:szCs w:val="19"/>
              </w:rPr>
              <w:t xml:space="preserve">Field</w:t>
            </w:r>
          </w:p>
        </w:tc>
        <w:tc>
          <w:tcPr>
            <w:tcW w:type="dxa" w:w="2600"/>
            <w:shd w:fill="1D2A3A" w:val="clear"/>
          </w:tcPr>
          <w:p>
            <w:r>
              <w:rPr>
                <w:b/>
                <w:bCs/>
                <w:color w:val="FFFFFF"/>
                <w:sz w:val="19"/>
                <w:szCs w:val="19"/>
              </w:rPr>
              <w:t xml:space="preserve">Type</w:t>
            </w:r>
          </w:p>
        </w:tc>
        <w:tc>
          <w:tcPr>
            <w:tcW w:type="dxa" w:w="6760"/>
            <w:shd w:fill="1D2A3A" w:val="clear"/>
          </w:tcPr>
          <w:p>
            <w:r>
              <w:rPr>
                <w:b/>
                <w:bCs/>
                <w:color w:val="FFFFFF"/>
                <w:sz w:val="19"/>
                <w:szCs w:val="19"/>
              </w:rPr>
              <w:t xml:space="preserve">Notes</w:t>
            </w:r>
          </w:p>
        </w:tc>
      </w:tr>
      <w:tr>
        <w:tc>
          <w:tcPr>
            <w:tcW w:type="dxa" w:w="2400"/>
            <w:shd w:fill="FFFFFF" w:val="clear"/>
          </w:tcPr>
          <w:p>
            <w:r>
              <w:rPr>
                <w:color w:val="1D2A3A"/>
                <w:sz w:val="19"/>
                <w:szCs w:val="19"/>
              </w:rPr>
              <w:t xml:space="preserve">id</w:t>
            </w:r>
          </w:p>
        </w:tc>
        <w:tc>
          <w:tcPr>
            <w:tcW w:type="dxa" w:w="2600"/>
            <w:shd w:fill="FFFFFF" w:val="clear"/>
          </w:tcPr>
          <w:p>
            <w:r>
              <w:rPr>
                <w:color w:val="1D2A3A"/>
                <w:sz w:val="19"/>
                <w:szCs w:val="19"/>
              </w:rPr>
              <w:t xml:space="preserve">string (uuid)</w:t>
            </w:r>
          </w:p>
        </w:tc>
        <w:tc>
          <w:tcPr>
            <w:tcW w:type="dxa" w:w="6760"/>
            <w:shd w:fill="FFFFFF" w:val="clear"/>
          </w:tcPr>
          <w:p>
            <w:r>
              <w:rPr>
                <w:color w:val="1D2A3A"/>
                <w:sz w:val="19"/>
                <w:szCs w:val="19"/>
              </w:rPr>
              <w:t xml:space="preserve">Primary key</w:t>
            </w:r>
          </w:p>
        </w:tc>
      </w:tr>
      <w:tr>
        <w:tc>
          <w:tcPr>
            <w:tcW w:type="dxa" w:w="2400"/>
            <w:shd w:fill="EDEFF2" w:val="clear"/>
          </w:tcPr>
          <w:p>
            <w:r>
              <w:rPr>
                <w:color w:val="1D2A3A"/>
                <w:sz w:val="19"/>
                <w:szCs w:val="19"/>
              </w:rPr>
              <w:t xml:space="preserve">yearMonth</w:t>
            </w:r>
          </w:p>
        </w:tc>
        <w:tc>
          <w:tcPr>
            <w:tcW w:type="dxa" w:w="2600"/>
            <w:shd w:fill="EDEFF2" w:val="clear"/>
          </w:tcPr>
          <w:p>
            <w:r>
              <w:rPr>
                <w:color w:val="1D2A3A"/>
                <w:sz w:val="19"/>
                <w:szCs w:val="19"/>
              </w:rPr>
              <w:t xml:space="preserve">string ("2026-07")</w:t>
            </w:r>
          </w:p>
        </w:tc>
        <w:tc>
          <w:tcPr>
            <w:tcW w:type="dxa" w:w="6760"/>
            <w:shd w:fill="EDEFF2" w:val="clear"/>
          </w:tcPr>
          <w:p>
            <w:r>
              <w:rPr>
                <w:color w:val="1D2A3A"/>
                <w:sz w:val="19"/>
                <w:szCs w:val="19"/>
              </w:rPr>
              <w:t xml:space="preserve">Which month this row applies to</w:t>
            </w:r>
          </w:p>
        </w:tc>
      </w:tr>
      <w:tr>
        <w:tc>
          <w:tcPr>
            <w:tcW w:type="dxa" w:w="2400"/>
            <w:shd w:fill="FFFFFF" w:val="clear"/>
          </w:tcPr>
          <w:p>
            <w:r>
              <w:rPr>
                <w:color w:val="1D2A3A"/>
                <w:sz w:val="19"/>
                <w:szCs w:val="19"/>
              </w:rPr>
              <w:t xml:space="preserve">salary</w:t>
            </w:r>
          </w:p>
        </w:tc>
        <w:tc>
          <w:tcPr>
            <w:tcW w:type="dxa" w:w="2600"/>
            <w:shd w:fill="FFFFFF" w:val="clear"/>
          </w:tcPr>
          <w:p>
            <w:r>
              <w:rPr>
                <w:color w:val="1D2A3A"/>
                <w:sz w:val="19"/>
                <w:szCs w:val="19"/>
              </w:rPr>
              <w:t xml:space="preserve">decimal</w:t>
            </w:r>
          </w:p>
        </w:tc>
        <w:tc>
          <w:tcPr>
            <w:tcW w:type="dxa" w:w="6760"/>
            <w:shd w:fill="FFFFFF" w:val="clear"/>
          </w:tcPr>
          <w:p>
            <w:r>
              <w:rPr>
                <w:color w:val="1D2A3A"/>
                <w:sz w:val="19"/>
                <w:szCs w:val="19"/>
              </w:rPr>
              <w:t xml:space="preserve">That month's take-home salary</w:t>
            </w:r>
          </w:p>
        </w:tc>
      </w:tr>
    </w:tbl>
    <w:p>
      <w:pPr>
        <w:pStyle w:val="Heading1"/>
        <w:spacing w:after="200" w:before="400"/>
      </w:pPr>
      <w:r>
        <w:rPr>
          <w:b/>
          <w:bCs/>
          <w:color w:val="1D2A3A"/>
          <w:sz w:val="32"/>
          <w:szCs w:val="32"/>
        </w:rPr>
        <w:t xml:space="preserve">5. Core Calculations</w:t>
      </w:r>
    </w:p>
    <w:p>
      <w:pPr>
        <w:spacing w:after="120"/>
      </w:pPr>
      <w:r>
        <w:rPr>
          <w:color w:val="1D2A3A"/>
          <w:sz w:val="21"/>
          <w:szCs w:val="21"/>
        </w:rPr>
        <w:t xml:space="preserve">These formulas run live, recalculated the moment any transaction, salary, or savings goal changes — nothing is ever manually re-added.</w:t>
      </w:r>
    </w:p>
    <w:p>
      <w:pPr>
        <w:pStyle w:val="Heading3"/>
        <w:spacing w:after="100" w:before="200"/>
      </w:pPr>
      <w:r>
        <w:rPr>
          <w:b/>
          <w:bCs/>
          <w:color w:val="2563EB"/>
          <w:sz w:val="22"/>
          <w:szCs w:val="22"/>
        </w:rPr>
        <w:t xml:space="preserve">5.1 Monthly Surplus (the Home tab hero number)</w:t>
      </w:r>
    </w:p>
    <w:p>
      <w:pPr>
        <w:shd w:fill="F4F5F7" w:val="clear"/>
        <w:spacing w:after="0"/>
      </w:pPr>
      <w:r>
        <w:rPr>
          <w:rFonts w:ascii="Courier New" w:cs="Courier New" w:eastAsia="Courier New" w:hAnsi="Courier New"/>
          <w:color w:val="1D2A3A"/>
          <w:sz w:val="19"/>
          <w:szCs w:val="19"/>
        </w:rPr>
        <w:t xml:space="preserve">Surplus = Salary</w:t>
      </w:r>
    </w:p>
    <w:p>
      <w:pPr>
        <w:shd w:fill="F4F5F7" w:val="clear"/>
        <w:spacing w:after="0"/>
      </w:pPr>
      <w:r>
        <w:rPr>
          <w:rFonts w:ascii="Courier New" w:cs="Courier New" w:eastAsia="Courier New" w:hAnsi="Courier New"/>
          <w:color w:val="1D2A3A"/>
          <w:sz w:val="19"/>
          <w:szCs w:val="19"/>
        </w:rPr>
        <w:t xml:space="preserve">          − SUM(Transactions.amount WHERE month = selected month)</w:t>
      </w:r>
    </w:p>
    <w:p>
      <w:pPr>
        <w:shd w:fill="F4F5F7" w:val="clear"/>
        <w:spacing w:after="120"/>
      </w:pPr>
      <w:r>
        <w:rPr>
          <w:rFonts w:ascii="Courier New" w:cs="Courier New" w:eastAsia="Courier New" w:hAnsi="Courier New"/>
          <w:color w:val="1D2A3A"/>
          <w:sz w:val="19"/>
          <w:szCs w:val="19"/>
        </w:rPr>
        <w:t xml:space="preserve">          − SUM(SavingsGoals.monthlyAmount)</w:t>
      </w:r>
    </w:p>
    <w:p>
      <w:pPr>
        <w:pStyle w:val="Heading3"/>
        <w:spacing w:after="100" w:before="200"/>
      </w:pPr>
      <w:r>
        <w:rPr>
          <w:b/>
          <w:bCs/>
          <w:color w:val="2563EB"/>
          <w:sz w:val="22"/>
          <w:szCs w:val="22"/>
        </w:rPr>
        <w:t xml:space="preserve">5.2 Category Actual Spend</w:t>
      </w:r>
    </w:p>
    <w:p>
      <w:pPr>
        <w:shd w:fill="F4F5F7" w:val="clear"/>
        <w:spacing w:after="0"/>
      </w:pPr>
      <w:r>
        <w:rPr>
          <w:rFonts w:ascii="Courier New" w:cs="Courier New" w:eastAsia="Courier New" w:hAnsi="Courier New"/>
          <w:color w:val="1D2A3A"/>
          <w:sz w:val="19"/>
          <w:szCs w:val="19"/>
        </w:rPr>
        <w:t xml:space="preserve">CategorySpend[c] = SUM(Transactions.amount</w:t>
      </w:r>
    </w:p>
    <w:p>
      <w:pPr>
        <w:shd w:fill="F4F5F7" w:val="clear"/>
        <w:spacing w:after="120"/>
      </w:pPr>
      <w:r>
        <w:rPr>
          <w:rFonts w:ascii="Courier New" w:cs="Courier New" w:eastAsia="Courier New" w:hAnsi="Courier New"/>
          <w:color w:val="1D2A3A"/>
          <w:sz w:val="19"/>
          <w:szCs w:val="19"/>
        </w:rPr>
        <w:t xml:space="preserve">                       WHERE categoryId = c AND month = selected month)</w:t>
      </w:r>
    </w:p>
    <w:p>
      <w:pPr>
        <w:pStyle w:val="Heading3"/>
        <w:spacing w:after="100" w:before="200"/>
      </w:pPr>
      <w:r>
        <w:rPr>
          <w:b/>
          <w:bCs/>
          <w:color w:val="2563EB"/>
          <w:sz w:val="22"/>
          <w:szCs w:val="22"/>
        </w:rPr>
        <w:t xml:space="preserve">5.3 Budget Health (per category)</w:t>
      </w:r>
    </w:p>
    <w:p>
      <w:pPr>
        <w:shd w:fill="F4F5F7" w:val="clear"/>
        <w:spacing w:after="0"/>
      </w:pPr>
      <w:r>
        <w:rPr>
          <w:rFonts w:ascii="Courier New" w:cs="Courier New" w:eastAsia="Courier New" w:hAnsi="Courier New"/>
          <w:color w:val="1D2A3A"/>
          <w:sz w:val="19"/>
          <w:szCs w:val="19"/>
        </w:rPr>
        <w:t xml:space="preserve">Remaining[c] = Category.monthlyLimit − CategorySpend[c]</w:t>
      </w:r>
    </w:p>
    <w:p>
      <w:pPr>
        <w:shd w:fill="F4F5F7" w:val="clear"/>
        <w:spacing w:after="0"/>
      </w:pPr>
      <w:r>
        <w:rPr>
          <w:rFonts w:ascii="Courier New" w:cs="Courier New" w:eastAsia="Courier New" w:hAnsi="Courier New"/>
          <w:color w:val="1D2A3A"/>
          <w:sz w:val="19"/>
          <w:szCs w:val="19"/>
        </w:rPr>
        <w:t xml:space="preserve"/>
      </w:r>
    </w:p>
    <w:p>
      <w:pPr>
        <w:shd w:fill="F4F5F7" w:val="clear"/>
        <w:spacing w:after="0"/>
      </w:pPr>
      <w:r>
        <w:rPr>
          <w:rFonts w:ascii="Courier New" w:cs="Courier New" w:eastAsia="Courier New" w:hAnsi="Courier New"/>
          <w:color w:val="1D2A3A"/>
          <w:sz w:val="19"/>
          <w:szCs w:val="19"/>
        </w:rPr>
        <w:t xml:space="preserve">Status:  green  if CategorySpend[c] &lt;= 80% of monthlyLimit</w:t>
      </w:r>
    </w:p>
    <w:p>
      <w:pPr>
        <w:shd w:fill="F4F5F7" w:val="clear"/>
        <w:spacing w:after="0"/>
      </w:pPr>
      <w:r>
        <w:rPr>
          <w:rFonts w:ascii="Courier New" w:cs="Courier New" w:eastAsia="Courier New" w:hAnsi="Courier New"/>
          <w:color w:val="1D2A3A"/>
          <w:sz w:val="19"/>
          <w:szCs w:val="19"/>
        </w:rPr>
        <w:t xml:space="preserve">         amber  if 80–100% of monthlyLimit</w:t>
      </w:r>
    </w:p>
    <w:p>
      <w:pPr>
        <w:shd w:fill="F4F5F7" w:val="clear"/>
        <w:spacing w:after="120"/>
      </w:pPr>
      <w:r>
        <w:rPr>
          <w:rFonts w:ascii="Courier New" w:cs="Courier New" w:eastAsia="Courier New" w:hAnsi="Courier New"/>
          <w:color w:val="1D2A3A"/>
          <w:sz w:val="19"/>
          <w:szCs w:val="19"/>
        </w:rPr>
        <w:t xml:space="preserve">         red    if over 100% of monthlyLimit</w:t>
      </w:r>
    </w:p>
    <w:p>
      <w:pPr>
        <w:pStyle w:val="Heading3"/>
        <w:spacing w:after="100" w:before="200"/>
      </w:pPr>
      <w:r>
        <w:rPr>
          <w:b/>
          <w:bCs/>
          <w:color w:val="2563EB"/>
          <w:sz w:val="22"/>
          <w:szCs w:val="22"/>
        </w:rPr>
        <w:t xml:space="preserve">5.4 Card Total</w:t>
      </w:r>
    </w:p>
    <w:p>
      <w:pPr>
        <w:shd w:fill="F4F5F7" w:val="clear"/>
        <w:spacing w:after="0"/>
      </w:pPr>
      <w:r>
        <w:rPr>
          <w:rFonts w:ascii="Courier New" w:cs="Courier New" w:eastAsia="Courier New" w:hAnsi="Courier New"/>
          <w:color w:val="1D2A3A"/>
          <w:sz w:val="19"/>
          <w:szCs w:val="19"/>
        </w:rPr>
        <w:t xml:space="preserve">CardTotal[card] = SUM(Transactions.amount</w:t>
      </w:r>
    </w:p>
    <w:p>
      <w:pPr>
        <w:shd w:fill="F4F5F7" w:val="clear"/>
        <w:spacing w:after="120"/>
      </w:pPr>
      <w:r>
        <w:rPr>
          <w:rFonts w:ascii="Courier New" w:cs="Courier New" w:eastAsia="Courier New" w:hAnsi="Courier New"/>
          <w:color w:val="1D2A3A"/>
          <w:sz w:val="19"/>
          <w:szCs w:val="19"/>
        </w:rPr>
        <w:t xml:space="preserve">                      WHERE cardId = card AND month = selected month)</w:t>
      </w:r>
    </w:p>
    <w:p>
      <w:pPr>
        <w:pStyle w:val="Heading3"/>
        <w:spacing w:after="100" w:before="200"/>
      </w:pPr>
      <w:r>
        <w:rPr>
          <w:b/>
          <w:bCs/>
          <w:color w:val="2563EB"/>
          <w:sz w:val="22"/>
          <w:szCs w:val="22"/>
        </w:rPr>
        <w:t xml:space="preserve">5.5 Trend series (Insights tab)</w:t>
      </w:r>
    </w:p>
    <w:p>
      <w:pPr>
        <w:spacing w:after="120"/>
      </w:pPr>
      <w:r>
        <w:rPr>
          <w:color w:val="1D2A3A"/>
          <w:sz w:val="21"/>
          <w:szCs w:val="21"/>
        </w:rPr>
        <w:t xml:space="preserve">Each of the last 6–12 months is computed with the same formulas above, producing a time series for the trend line, the surplus-history bars, and category trend charts.</w:t>
      </w:r>
    </w:p>
    <w:p>
      <w:pPr>
        <w:pStyle w:val="Heading1"/>
        <w:spacing w:after="200" w:before="400"/>
      </w:pPr>
      <w:r>
        <w:rPr>
          <w:b/>
          <w:bCs/>
          <w:color w:val="1D2A3A"/>
          <w:sz w:val="32"/>
          <w:szCs w:val="32"/>
        </w:rPr>
        <w:t xml:space="preserve">6. Tech Stack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4160"/>
      </w:tblGrid>
      <w:tr>
        <w:trPr>
          <w:tblHeader/>
        </w:trPr>
        <w:tc>
          <w:tcPr>
            <w:tcW w:type="dxa" w:w="2000"/>
            <w:shd w:fill="1D2A3A" w:val="clear"/>
          </w:tcPr>
          <w:p>
            <w:r>
              <w:rPr>
                <w:b/>
                <w:bCs/>
                <w:color w:val="FFFFFF"/>
                <w:sz w:val="19"/>
                <w:szCs w:val="19"/>
              </w:rPr>
              <w:t xml:space="preserve">Layer</w:t>
            </w:r>
          </w:p>
        </w:tc>
        <w:tc>
          <w:tcPr>
            <w:tcW w:type="dxa" w:w="3600"/>
            <w:shd w:fill="1D2A3A" w:val="clear"/>
          </w:tcPr>
          <w:p>
            <w:r>
              <w:rPr>
                <w:b/>
                <w:bCs/>
                <w:color w:val="FFFFFF"/>
                <w:sz w:val="19"/>
                <w:szCs w:val="19"/>
              </w:rPr>
              <w:t xml:space="preserve">Choice</w:t>
            </w:r>
          </w:p>
        </w:tc>
        <w:tc>
          <w:tcPr>
            <w:tcW w:type="dxa" w:w="4160"/>
            <w:shd w:fill="1D2A3A" w:val="clear"/>
          </w:tcPr>
          <w:p>
            <w:r>
              <w:rPr>
                <w:b/>
                <w:bCs/>
                <w:color w:val="FFFFFF"/>
                <w:sz w:val="19"/>
                <w:szCs w:val="19"/>
              </w:rPr>
              <w:t xml:space="preserve">Why</w:t>
            </w:r>
          </w:p>
        </w:tc>
      </w:tr>
      <w:tr>
        <w:tc>
          <w:tcPr>
            <w:tcW w:type="dxa" w:w="2000"/>
            <w:shd w:fill="FFFFFF" w:val="clear"/>
          </w:tcPr>
          <w:p>
            <w:r>
              <w:rPr>
                <w:color w:val="1D2A3A"/>
                <w:sz w:val="19"/>
                <w:szCs w:val="19"/>
              </w:rPr>
              <w:t xml:space="preserve">Framework</w:t>
            </w:r>
          </w:p>
        </w:tc>
        <w:tc>
          <w:tcPr>
            <w:tcW w:type="dxa" w:w="3600"/>
            <w:shd w:fill="FFFFFF" w:val="clear"/>
          </w:tcPr>
          <w:p>
            <w:r>
              <w:rPr>
                <w:color w:val="1D2A3A"/>
                <w:sz w:val="19"/>
                <w:szCs w:val="19"/>
              </w:rPr>
              <w:t xml:space="preserve">Expo (React Native) + TypeScript</w:t>
            </w:r>
          </w:p>
        </w:tc>
        <w:tc>
          <w:tcPr>
            <w:tcW w:type="dxa" w:w="4160"/>
            <w:shd w:fill="FFFFFF" w:val="clear"/>
          </w:tcPr>
          <w:p>
            <w:r>
              <w:rPr>
                <w:color w:val="1D2A3A"/>
                <w:sz w:val="19"/>
                <w:szCs w:val="19"/>
              </w:rPr>
              <w:t xml:space="preserve">Matches your existing Backstory app setup — same EAS/Apple Developer account carries over, no new infrastructure</w:t>
            </w:r>
          </w:p>
        </w:tc>
      </w:tr>
      <w:tr>
        <w:tc>
          <w:tcPr>
            <w:tcW w:type="dxa" w:w="2000"/>
            <w:shd w:fill="EDEFF2" w:val="clear"/>
          </w:tcPr>
          <w:p>
            <w:r>
              <w:rPr>
                <w:color w:val="1D2A3A"/>
                <w:sz w:val="19"/>
                <w:szCs w:val="19"/>
              </w:rPr>
              <w:t xml:space="preserve">Navigation</w:t>
            </w:r>
          </w:p>
        </w:tc>
        <w:tc>
          <w:tcPr>
            <w:tcW w:type="dxa" w:w="3600"/>
            <w:shd w:fill="EDEFF2" w:val="clear"/>
          </w:tcPr>
          <w:p>
            <w:r>
              <w:rPr>
                <w:color w:val="1D2A3A"/>
                <w:sz w:val="19"/>
                <w:szCs w:val="19"/>
              </w:rPr>
              <w:t xml:space="preserve">expo-router</w:t>
            </w:r>
          </w:p>
        </w:tc>
        <w:tc>
          <w:tcPr>
            <w:tcW w:type="dxa" w:w="4160"/>
            <w:shd w:fill="EDEFF2" w:val="clear"/>
          </w:tcPr>
          <w:p>
            <w:r>
              <w:rPr>
                <w:color w:val="1D2A3A"/>
                <w:sz w:val="19"/>
                <w:szCs w:val="19"/>
              </w:rPr>
              <w:t xml:space="preserve">File-based routing, same pattern as Backstory</w:t>
            </w:r>
          </w:p>
        </w:tc>
      </w:tr>
      <w:tr>
        <w:tc>
          <w:tcPr>
            <w:tcW w:type="dxa" w:w="2000"/>
            <w:shd w:fill="FFFFFF" w:val="clear"/>
          </w:tcPr>
          <w:p>
            <w:r>
              <w:rPr>
                <w:color w:val="1D2A3A"/>
                <w:sz w:val="19"/>
                <w:szCs w:val="19"/>
              </w:rPr>
              <w:t xml:space="preserve">Local storage</w:t>
            </w:r>
          </w:p>
        </w:tc>
        <w:tc>
          <w:tcPr>
            <w:tcW w:type="dxa" w:w="3600"/>
            <w:shd w:fill="FFFFFF" w:val="clear"/>
          </w:tcPr>
          <w:p>
            <w:r>
              <w:rPr>
                <w:color w:val="1D2A3A"/>
                <w:sz w:val="19"/>
                <w:szCs w:val="19"/>
              </w:rPr>
              <w:t xml:space="preserve">expo-sqlite</w:t>
            </w:r>
          </w:p>
        </w:tc>
        <w:tc>
          <w:tcPr>
            <w:tcW w:type="dxa" w:w="4160"/>
            <w:shd w:fill="FFFFFF" w:val="clear"/>
          </w:tcPr>
          <w:p>
            <w:r>
              <w:rPr>
                <w:color w:val="1D2A3A"/>
                <w:sz w:val="19"/>
                <w:szCs w:val="19"/>
              </w:rPr>
              <w:t xml:space="preserve">On-device relational DB — matches Backstory's local-only approach</w:t>
            </w:r>
          </w:p>
        </w:tc>
      </w:tr>
      <w:tr>
        <w:tc>
          <w:tcPr>
            <w:tcW w:type="dxa" w:w="2000"/>
            <w:shd w:fill="EDEFF2" w:val="clear"/>
          </w:tcPr>
          <w:p>
            <w:r>
              <w:rPr>
                <w:color w:val="1D2A3A"/>
                <w:sz w:val="19"/>
                <w:szCs w:val="19"/>
              </w:rPr>
              <w:t xml:space="preserve">Charts</w:t>
            </w:r>
          </w:p>
        </w:tc>
        <w:tc>
          <w:tcPr>
            <w:tcW w:type="dxa" w:w="3600"/>
            <w:shd w:fill="EDEFF2" w:val="clear"/>
          </w:tcPr>
          <w:p>
            <w:r>
              <w:rPr>
                <w:color w:val="1D2A3A"/>
                <w:sz w:val="19"/>
                <w:szCs w:val="19"/>
              </w:rPr>
              <w:t xml:space="preserve">Victory Native or React Native Skia</w:t>
            </w:r>
          </w:p>
        </w:tc>
        <w:tc>
          <w:tcPr>
            <w:tcW w:type="dxa" w:w="4160"/>
            <w:shd w:fill="EDEFF2" w:val="clear"/>
          </w:tcPr>
          <w:p>
            <w:r>
              <w:rPr>
                <w:color w:val="1D2A3A"/>
                <w:sz w:val="19"/>
                <w:szCs w:val="19"/>
              </w:rPr>
              <w:t xml:space="preserve">Smooth native-feeling charts, no web views</w:t>
            </w:r>
          </w:p>
        </w:tc>
      </w:tr>
      <w:tr>
        <w:tc>
          <w:tcPr>
            <w:tcW w:type="dxa" w:w="2000"/>
            <w:shd w:fill="FFFFFF" w:val="clear"/>
          </w:tcPr>
          <w:p>
            <w:r>
              <w:rPr>
                <w:color w:val="1D2A3A"/>
                <w:sz w:val="19"/>
                <w:szCs w:val="19"/>
              </w:rPr>
              <w:t xml:space="preserve">Icons</w:t>
            </w:r>
          </w:p>
        </w:tc>
        <w:tc>
          <w:tcPr>
            <w:tcW w:type="dxa" w:w="3600"/>
            <w:shd w:fill="FFFFFF" w:val="clear"/>
          </w:tcPr>
          <w:p>
            <w:r>
              <w:rPr>
                <w:color w:val="1D2A3A"/>
                <w:sz w:val="19"/>
                <w:szCs w:val="19"/>
              </w:rPr>
              <w:t xml:space="preserve">SF Symbols via expo-symbols (iOS)</w:t>
            </w:r>
          </w:p>
        </w:tc>
        <w:tc>
          <w:tcPr>
            <w:tcW w:type="dxa" w:w="4160"/>
            <w:shd w:fill="FFFFFF" w:val="clear"/>
          </w:tcPr>
          <w:p>
            <w:r>
              <w:rPr>
                <w:color w:val="1D2A3A"/>
                <w:sz w:val="19"/>
                <w:szCs w:val="19"/>
              </w:rPr>
              <w:t xml:space="preserve">Same approach Backstory already uses for cross-platform icon parity</w:t>
            </w:r>
          </w:p>
        </w:tc>
      </w:tr>
      <w:tr>
        <w:tc>
          <w:tcPr>
            <w:tcW w:type="dxa" w:w="2000"/>
            <w:shd w:fill="EDEFF2" w:val="clear"/>
          </w:tcPr>
          <w:p>
            <w:r>
              <w:rPr>
                <w:color w:val="1D2A3A"/>
                <w:sz w:val="19"/>
                <w:szCs w:val="19"/>
              </w:rPr>
              <w:t xml:space="preserve">State management</w:t>
            </w:r>
          </w:p>
        </w:tc>
        <w:tc>
          <w:tcPr>
            <w:tcW w:type="dxa" w:w="3600"/>
            <w:shd w:fill="EDEFF2" w:val="clear"/>
          </w:tcPr>
          <w:p>
            <w:r>
              <w:rPr>
                <w:color w:val="1D2A3A"/>
                <w:sz w:val="19"/>
                <w:szCs w:val="19"/>
              </w:rPr>
              <w:t xml:space="preserve">React Context + hooks (or Zustand if complexity grows)</w:t>
            </w:r>
          </w:p>
        </w:tc>
        <w:tc>
          <w:tcPr>
            <w:tcW w:type="dxa" w:w="4160"/>
            <w:shd w:fill="EDEFF2" w:val="clear"/>
          </w:tcPr>
          <w:p>
            <w:r>
              <w:rPr>
                <w:color w:val="1D2A3A"/>
                <w:sz w:val="19"/>
                <w:szCs w:val="19"/>
              </w:rPr>
              <w:t xml:space="preserve">Lightweight, no external backend to sync</w:t>
            </w:r>
          </w:p>
        </w:tc>
      </w:tr>
      <w:tr>
        <w:tc>
          <w:tcPr>
            <w:tcW w:type="dxa" w:w="2000"/>
            <w:shd w:fill="FFFFFF" w:val="clear"/>
          </w:tcPr>
          <w:p>
            <w:r>
              <w:rPr>
                <w:color w:val="1D2A3A"/>
                <w:sz w:val="19"/>
                <w:szCs w:val="19"/>
              </w:rPr>
              <w:t xml:space="preserve">Styling</w:t>
            </w:r>
          </w:p>
        </w:tc>
        <w:tc>
          <w:tcPr>
            <w:tcW w:type="dxa" w:w="3600"/>
            <w:shd w:fill="FFFFFF" w:val="clear"/>
          </w:tcPr>
          <w:p>
            <w:r>
              <w:rPr>
                <w:color w:val="1D2A3A"/>
                <w:sz w:val="19"/>
                <w:szCs w:val="19"/>
              </w:rPr>
              <w:t xml:space="preserve">Custom theme file mapping to iOS semantic colors</w:t>
            </w:r>
          </w:p>
        </w:tc>
        <w:tc>
          <w:tcPr>
            <w:tcW w:type="dxa" w:w="4160"/>
            <w:shd w:fill="FFFFFF" w:val="clear"/>
          </w:tcPr>
          <w:p>
            <w:r>
              <w:rPr>
                <w:color w:val="1D2A3A"/>
                <w:sz w:val="19"/>
                <w:szCs w:val="19"/>
              </w:rPr>
              <w:t xml:space="preserve">Automatic Light/Dark support, matches system</w:t>
            </w:r>
          </w:p>
        </w:tc>
      </w:tr>
      <w:tr>
        <w:tc>
          <w:tcPr>
            <w:tcW w:type="dxa" w:w="2000"/>
            <w:shd w:fill="EDEFF2" w:val="clear"/>
          </w:tcPr>
          <w:p>
            <w:r>
              <w:rPr>
                <w:color w:val="1D2A3A"/>
                <w:sz w:val="19"/>
                <w:szCs w:val="19"/>
              </w:rPr>
              <w:t xml:space="preserve">Build/ship</w:t>
            </w:r>
          </w:p>
        </w:tc>
        <w:tc>
          <w:tcPr>
            <w:tcW w:type="dxa" w:w="3600"/>
            <w:shd w:fill="EDEFF2" w:val="clear"/>
          </w:tcPr>
          <w:p>
            <w:r>
              <w:rPr>
                <w:color w:val="1D2A3A"/>
                <w:sz w:val="19"/>
                <w:szCs w:val="19"/>
              </w:rPr>
              <w:t xml:space="preserve">EAS Build + EAS Submit</w:t>
            </w:r>
          </w:p>
        </w:tc>
        <w:tc>
          <w:tcPr>
            <w:tcW w:type="dxa" w:w="4160"/>
            <w:shd w:fill="EDEFF2" w:val="clear"/>
          </w:tcPr>
          <w:p>
            <w:r>
              <w:rPr>
                <w:color w:val="1D2A3A"/>
                <w:sz w:val="19"/>
                <w:szCs w:val="19"/>
              </w:rPr>
              <w:t xml:space="preserve">Same pipeline already proven working for Backstory — Team ID 5RKH5ZFXPM</w:t>
            </w:r>
          </w:p>
        </w:tc>
      </w:tr>
    </w:tbl>
    <w:p>
      <w:pPr>
        <w:pStyle w:val="Heading1"/>
        <w:spacing w:after="200" w:before="400"/>
      </w:pPr>
      <w:r>
        <w:rPr>
          <w:b/>
          <w:bCs/>
          <w:color w:val="1D2A3A"/>
          <w:sz w:val="32"/>
          <w:szCs w:val="32"/>
        </w:rPr>
        <w:t xml:space="preserve">7. Build Phases</w:t>
      </w:r>
    </w:p>
    <w:p>
      <w:pPr>
        <w:pStyle w:val="Heading3"/>
        <w:spacing w:after="100" w:before="200"/>
      </w:pPr>
      <w:r>
        <w:rPr>
          <w:b/>
          <w:bCs/>
          <w:color w:val="2563EB"/>
          <w:sz w:val="22"/>
          <w:szCs w:val="22"/>
        </w:rPr>
        <w:t xml:space="preserve">Phase 1 — Data layer &amp; core screens</w:t>
      </w:r>
    </w:p>
    <w:p>
      <w:pPr>
        <w:pStyle w:val="ListParagraph"/>
        <w:numPr>
          <w:ilvl w:val="0"/>
          <w:numId w:val="2"/>
        </w:numPr>
        <w:spacing w:after="60"/>
      </w:pPr>
      <w:r>
        <w:rPr>
          <w:color w:val="1D2A3A"/>
          <w:sz w:val="21"/>
          <w:szCs w:val="21"/>
        </w:rPr>
        <w:t xml:space="preserve">SQLite schema + migrations for Card, Category, Transaction, SavingsGoal, MonthlySettings.</w:t>
      </w:r>
    </w:p>
    <w:p>
      <w:pPr>
        <w:pStyle w:val="ListParagraph"/>
        <w:numPr>
          <w:ilvl w:val="0"/>
          <w:numId w:val="2"/>
        </w:numPr>
        <w:spacing w:after="60"/>
      </w:pPr>
      <w:r>
        <w:rPr>
          <w:color w:val="1D2A3A"/>
          <w:sz w:val="21"/>
          <w:szCs w:val="21"/>
        </w:rPr>
        <w:t xml:space="preserve">Add/Edit/Delete flows for Cards, Categories, Transactions, Savings Goals.</w:t>
      </w:r>
    </w:p>
    <w:p>
      <w:pPr>
        <w:pStyle w:val="ListParagraph"/>
        <w:numPr>
          <w:ilvl w:val="0"/>
          <w:numId w:val="2"/>
        </w:numPr>
        <w:spacing w:after="60"/>
      </w:pPr>
      <w:r>
        <w:rPr>
          <w:color w:val="1D2A3A"/>
          <w:sz w:val="21"/>
          <w:szCs w:val="21"/>
        </w:rPr>
        <w:t xml:space="preserve">Home dashboard with live surplus calculation.</w:t>
      </w:r>
    </w:p>
    <w:p>
      <w:pPr>
        <w:pStyle w:val="Heading3"/>
        <w:spacing w:after="100" w:before="200"/>
      </w:pPr>
      <w:r>
        <w:rPr>
          <w:b/>
          <w:bCs/>
          <w:color w:val="2563EB"/>
          <w:sz w:val="22"/>
          <w:szCs w:val="22"/>
        </w:rPr>
        <w:t xml:space="preserve">Phase 2 — Budget &amp; Cards tabs</w:t>
      </w:r>
    </w:p>
    <w:p>
      <w:pPr>
        <w:pStyle w:val="ListParagraph"/>
        <w:numPr>
          <w:ilvl w:val="0"/>
          <w:numId w:val="2"/>
        </w:numPr>
        <w:spacing w:after="60"/>
      </w:pPr>
      <w:r>
        <w:rPr>
          <w:color w:val="1D2A3A"/>
          <w:sz w:val="21"/>
          <w:szCs w:val="21"/>
        </w:rPr>
        <w:t xml:space="preserve">Budget tab with ideal-limit editing and progress bars.</w:t>
      </w:r>
    </w:p>
    <w:p>
      <w:pPr>
        <w:pStyle w:val="ListParagraph"/>
        <w:numPr>
          <w:ilvl w:val="0"/>
          <w:numId w:val="2"/>
        </w:numPr>
        <w:spacing w:after="60"/>
      </w:pPr>
      <w:r>
        <w:rPr>
          <w:color w:val="1D2A3A"/>
          <w:sz w:val="21"/>
          <w:szCs w:val="21"/>
        </w:rPr>
        <w:t xml:space="preserve">Cards tab with Wallet-style card UI and per-card totals.</w:t>
      </w:r>
    </w:p>
    <w:p>
      <w:pPr>
        <w:pStyle w:val="ListParagraph"/>
        <w:numPr>
          <w:ilvl w:val="0"/>
          <w:numId w:val="2"/>
        </w:numPr>
        <w:spacing w:after="60"/>
      </w:pPr>
      <w:r>
        <w:rPr>
          <w:color w:val="1D2A3A"/>
          <w:sz w:val="21"/>
          <w:szCs w:val="21"/>
        </w:rPr>
        <w:t xml:space="preserve">Bulk quick-entry flow for logging a full statement in one sitting.</w:t>
      </w:r>
    </w:p>
    <w:p>
      <w:pPr>
        <w:pStyle w:val="Heading3"/>
        <w:spacing w:after="100" w:before="200"/>
      </w:pPr>
      <w:r>
        <w:rPr>
          <w:b/>
          <w:bCs/>
          <w:color w:val="2563EB"/>
          <w:sz w:val="22"/>
          <w:szCs w:val="22"/>
        </w:rPr>
        <w:t xml:space="preserve">Phase 3 — Insights &amp; polish</w:t>
      </w:r>
    </w:p>
    <w:p>
      <w:pPr>
        <w:pStyle w:val="ListParagraph"/>
        <w:numPr>
          <w:ilvl w:val="0"/>
          <w:numId w:val="2"/>
        </w:numPr>
        <w:spacing w:after="60"/>
      </w:pPr>
      <w:r>
        <w:rPr>
          <w:color w:val="1D2A3A"/>
          <w:sz w:val="21"/>
          <w:szCs w:val="21"/>
        </w:rPr>
        <w:t xml:space="preserve">All charts (trend line, category donut, budget-vs-actual bars, card breakdown, surplus history).</w:t>
      </w:r>
    </w:p>
    <w:p>
      <w:pPr>
        <w:pStyle w:val="ListParagraph"/>
        <w:numPr>
          <w:ilvl w:val="0"/>
          <w:numId w:val="2"/>
        </w:numPr>
        <w:spacing w:after="60"/>
      </w:pPr>
      <w:r>
        <w:rPr>
          <w:color w:val="1D2A3A"/>
          <w:sz w:val="21"/>
          <w:szCs w:val="21"/>
        </w:rPr>
        <w:t xml:space="preserve">CSV export/import for backup.</w:t>
      </w:r>
    </w:p>
    <w:p>
      <w:pPr>
        <w:pStyle w:val="ListParagraph"/>
        <w:numPr>
          <w:ilvl w:val="0"/>
          <w:numId w:val="2"/>
        </w:numPr>
        <w:spacing w:after="60"/>
      </w:pPr>
      <w:r>
        <w:rPr>
          <w:color w:val="1D2A3A"/>
          <w:sz w:val="21"/>
          <w:szCs w:val="21"/>
        </w:rPr>
        <w:t xml:space="preserve">Optional Face ID lock.</w:t>
      </w:r>
    </w:p>
    <w:p>
      <w:pPr>
        <w:pStyle w:val="ListParagraph"/>
        <w:numPr>
          <w:ilvl w:val="0"/>
          <w:numId w:val="2"/>
        </w:numPr>
        <w:spacing w:after="60"/>
      </w:pPr>
      <w:r>
        <w:rPr>
          <w:color w:val="1D2A3A"/>
          <w:sz w:val="21"/>
          <w:szCs w:val="21"/>
        </w:rPr>
        <w:t xml:space="preserve">Light/Dark mode pass, empty states, animations/haptics for a native feel.</w:t>
      </w:r>
    </w:p>
    <w:p>
      <w:pPr>
        <w:pStyle w:val="Heading3"/>
        <w:spacing w:after="100" w:before="200"/>
      </w:pPr>
      <w:r>
        <w:rPr>
          <w:b/>
          <w:bCs/>
          <w:color w:val="2563EB"/>
          <w:sz w:val="22"/>
          <w:szCs w:val="22"/>
        </w:rPr>
        <w:t xml:space="preserve">Phase 4 — Ship</w:t>
      </w:r>
    </w:p>
    <w:p>
      <w:pPr>
        <w:pStyle w:val="ListParagraph"/>
        <w:numPr>
          <w:ilvl w:val="0"/>
          <w:numId w:val="2"/>
        </w:numPr>
        <w:spacing w:after="60"/>
      </w:pPr>
      <w:r>
        <w:rPr>
          <w:color w:val="1D2A3A"/>
          <w:sz w:val="21"/>
          <w:szCs w:val="21"/>
        </w:rPr>
        <w:t xml:space="preserve">EAS production build, TestFlight submission via your existing Apple Developer + EAS accounts.</w:t>
      </w:r>
    </w:p>
    <w:p>
      <w:pPr>
        <w:pStyle w:val="ListParagraph"/>
        <w:numPr>
          <w:ilvl w:val="0"/>
          <w:numId w:val="2"/>
        </w:numPr>
        <w:spacing w:after="60"/>
      </w:pPr>
      <w:r>
        <w:rPr>
          <w:color w:val="1D2A3A"/>
          <w:sz w:val="21"/>
          <w:szCs w:val="21"/>
        </w:rPr>
        <w:t xml:space="preserve">On-device testing pass with real data from a real month.</w:t>
      </w:r>
    </w:p>
    <w:p>
      <w:pPr>
        <w:pStyle w:val="Heading1"/>
        <w:spacing w:after="200" w:before="400"/>
      </w:pPr>
      <w:r>
        <w:rPr>
          <w:b/>
          <w:bCs/>
          <w:color w:val="1D2A3A"/>
          <w:sz w:val="32"/>
          <w:szCs w:val="32"/>
        </w:rPr>
        <w:t xml:space="preserve">8. Explicitly Out of Scope for v1</w:t>
      </w:r>
    </w:p>
    <w:p>
      <w:pPr>
        <w:pStyle w:val="ListParagraph"/>
        <w:numPr>
          <w:ilvl w:val="0"/>
          <w:numId w:val="2"/>
        </w:numPr>
        <w:spacing w:after="60"/>
      </w:pPr>
      <w:r>
        <w:rPr>
          <w:color w:val="1D2A3A"/>
          <w:sz w:val="21"/>
          <w:szCs w:val="21"/>
        </w:rPr>
        <w:t xml:space="preserve">Bank/card account linking or automatic transaction import (Plaid, etc.) — you're entering manually by design, matching your current ritual.</w:t>
      </w:r>
    </w:p>
    <w:p>
      <w:pPr>
        <w:pStyle w:val="ListParagraph"/>
        <w:numPr>
          <w:ilvl w:val="0"/>
          <w:numId w:val="2"/>
        </w:numPr>
        <w:spacing w:after="60"/>
      </w:pPr>
      <w:r>
        <w:rPr>
          <w:color w:val="1D2A3A"/>
          <w:sz w:val="21"/>
          <w:szCs w:val="21"/>
        </w:rPr>
        <w:t xml:space="preserve">Multi-device sync or shared accounts — confirmed single-device, local-only.</w:t>
      </w:r>
    </w:p>
    <w:p>
      <w:pPr>
        <w:pStyle w:val="ListParagraph"/>
        <w:numPr>
          <w:ilvl w:val="0"/>
          <w:numId w:val="2"/>
        </w:numPr>
        <w:spacing w:after="60"/>
      </w:pPr>
      <w:r>
        <w:rPr>
          <w:color w:val="1D2A3A"/>
          <w:sz w:val="21"/>
          <w:szCs w:val="21"/>
        </w:rPr>
        <w:t xml:space="preserve">Income tracking beyond a single monthly salary figure — no multiple income streams in v1.</w:t>
      </w:r>
    </w:p>
    <w:p>
      <w:pPr>
        <w:pStyle w:val="ListParagraph"/>
        <w:numPr>
          <w:ilvl w:val="0"/>
          <w:numId w:val="2"/>
        </w:numPr>
        <w:spacing w:after="60"/>
      </w:pPr>
      <w:r>
        <w:rPr>
          <w:color w:val="1D2A3A"/>
          <w:sz w:val="21"/>
          <w:szCs w:val="21"/>
        </w:rPr>
        <w:t xml:space="preserve">Debt/loan tracking, investment tracking — pure budgeting scope only.</w:t>
      </w:r>
    </w:p>
    <w:p>
      <w:pPr>
        <w:pStyle w:val="ListParagraph"/>
        <w:numPr>
          <w:ilvl w:val="0"/>
          <w:numId w:val="2"/>
        </w:numPr>
        <w:spacing w:after="60"/>
      </w:pPr>
      <w:r>
        <w:rPr>
          <w:color w:val="1D2A3A"/>
          <w:sz w:val="21"/>
          <w:szCs w:val="21"/>
        </w:rPr>
        <w:t xml:space="preserve">Month-to-month variable category limits — confirmed fixed limits are sufficient for now; can be added later without a data-model rewrite (MonthlySettings could absorb per-category limits if ever needed).</w:t>
      </w:r>
    </w:p>
    <w:p>
      <w:pPr>
        <w:pStyle w:val="Heading1"/>
        <w:spacing w:after="200" w:before="400"/>
      </w:pPr>
      <w:r>
        <w:rPr>
          <w:b/>
          <w:bCs/>
          <w:color w:val="1D2A3A"/>
          <w:sz w:val="32"/>
          <w:szCs w:val="32"/>
        </w:rPr>
        <w:t xml:space="preserve">9. Open Questions for the Build Session</w:t>
      </w:r>
    </w:p>
    <w:p>
      <w:pPr>
        <w:spacing w:after="120"/>
      </w:pPr>
      <w:r>
        <w:rPr>
          <w:color w:val="1D2A3A"/>
          <w:sz w:val="21"/>
          <w:szCs w:val="21"/>
        </w:rPr>
        <w:t xml:space="preserve">Small decisions worth confirming in Claude Code before or during the build, so nothing gets assumed:</w:t>
      </w:r>
    </w:p>
    <w:p>
      <w:pPr>
        <w:pStyle w:val="ListParagraph"/>
        <w:numPr>
          <w:ilvl w:val="0"/>
          <w:numId w:val="2"/>
        </w:numPr>
        <w:spacing w:after="60"/>
      </w:pPr>
      <w:r>
        <w:rPr>
          <w:color w:val="1D2A3A"/>
          <w:sz w:val="21"/>
          <w:szCs w:val="21"/>
        </w:rPr>
        <w:t xml:space="preserve">Exact category list and starting ideal limits (utility, grocery, home, personal/clothing, others — full list + numbers).</w:t>
      </w:r>
    </w:p>
    <w:p>
      <w:pPr>
        <w:pStyle w:val="ListParagraph"/>
        <w:numPr>
          <w:ilvl w:val="0"/>
          <w:numId w:val="2"/>
        </w:numPr>
        <w:spacing w:after="60"/>
      </w:pPr>
      <w:r>
        <w:rPr>
          <w:color w:val="1D2A3A"/>
          <w:sz w:val="21"/>
          <w:szCs w:val="21"/>
        </w:rPr>
        <w:t xml:space="preserve">Exact card names/colors for the 4–5 cards.</w:t>
      </w:r>
    </w:p>
    <w:p>
      <w:pPr>
        <w:pStyle w:val="ListParagraph"/>
        <w:numPr>
          <w:ilvl w:val="0"/>
          <w:numId w:val="2"/>
        </w:numPr>
        <w:spacing w:after="60"/>
      </w:pPr>
      <w:r>
        <w:rPr>
          <w:color w:val="1D2A3A"/>
          <w:sz w:val="21"/>
          <w:szCs w:val="21"/>
        </w:rPr>
        <w:t xml:space="preserve">Currency (assumed USD unless specified).</w:t>
      </w:r>
    </w:p>
    <w:p>
      <w:pPr>
        <w:pStyle w:val="ListParagraph"/>
        <w:numPr>
          <w:ilvl w:val="0"/>
          <w:numId w:val="2"/>
        </w:numPr>
        <w:spacing w:after="60"/>
      </w:pPr>
      <w:r>
        <w:rPr>
          <w:color w:val="1D2A3A"/>
          <w:sz w:val="21"/>
          <w:szCs w:val="21"/>
        </w:rPr>
        <w:t xml:space="preserve">Whether monthly salary is truly fixed or varies — affects whether MonthlySettings needs a UI or can just be a single global settings value.</w:t>
      </w:r>
    </w:p>
    <w:p>
      <w:pPr>
        <w:pStyle w:val="ListParagraph"/>
        <w:numPr>
          <w:ilvl w:val="0"/>
          <w:numId w:val="2"/>
        </w:numPr>
        <w:spacing w:after="60"/>
      </w:pPr>
      <w:r>
        <w:rPr>
          <w:color w:val="1D2A3A"/>
          <w:sz w:val="21"/>
          <w:szCs w:val="21"/>
        </w:rPr>
        <w:t xml:space="preserve">Names and fixed amounts for current savings goals.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2026-07-08T04:37:10.772Z</dcterms:created>
  <dcterms:modified xsi:type="dcterms:W3CDTF">2026-07-08T04:37:10.772Z</dcterms:modified>
</cp:coreProperties>
</file>

<file path=docProps/custom.xml><?xml version="1.0" encoding="utf-8"?>
<Properties xmlns="http://schemas.openxmlformats.org/officeDocument/2006/custom-properties" xmlns:vt="http://schemas.openxmlformats.org/officeDocument/2006/docPropsVTypes"/>
</file>