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r>
        <w:rPr>
          <w:b/>
        </w:rPr>
        <w:t>Probe42 reports (MCA, automated).</w:t>
      </w:r>
      <w:r>
        <w:t xml:space="preserve"> If you download a company report</w:t>
      </w:r>
    </w:p>
    <w:p>
      <w:r>
        <w:t>from Probe42, the tool reads it directly — no manual typing for the MCA</w:t>
      </w:r>
    </w:p>
    <w:p>
      <w:r>
        <w:t>leg:</w:t>
      </w:r>
    </w:p>
    <w:p>
      <w:r>
        <w:rPr>
          <w:rFonts w:ascii="Consolas" w:hAnsi="Consolas"/>
          <w:color w:val="1F3B57"/>
          <w:sz w:val="17"/>
        </w:rPr>
        <w:t>.\cma probe "D:\DL\U28999GJ2020PTC118078.pdf" -b "ARROWIN METALTECH (INDIA) PRIVATE LIMITED"</w:t>
      </w:r>
    </w:p>
    <w:p>
      <w:r>
        <w:t xml:space="preserve">It extracts company status, open charges </w:t>
      </w:r>
      <w:r>
        <w:rPr>
          <w:b/>
        </w:rPr>
        <w:t>with holder names</w:t>
      </w:r>
      <w:r>
        <w:t xml:space="preserve"> (so you</w:t>
      </w:r>
    </w:p>
    <w:p>
      <w:r>
        <w:t>see who else has lent — charges held by lenders other than SBI are</w:t>
      </w:r>
    </w:p>
    <w:p>
      <w:r>
        <w:t>flagged), auditor qualifications, legal cases, BIFR/CDR/suit-filed/</w:t>
      </w:r>
    </w:p>
    <w:p>
      <w:r>
        <w:t>name-removal compliance, and records the MCA check automatically. An</w:t>
      </w:r>
    </w:p>
    <w:p>
      <w:r>
        <w:t>adverse status, a qualified auditor report, or cases on record mark the</w:t>
      </w:r>
    </w:p>
    <w:p>
      <w:r>
        <w:t xml:space="preserve">check </w:t>
      </w:r>
      <w:r>
        <w:rPr>
          <w:rFonts w:ascii="Consolas" w:hAnsi="Consolas"/>
          <w:sz w:val="18"/>
        </w:rPr>
        <w:t>adverse</w:t>
      </w:r>
      <w:r>
        <w:t xml:space="preserve"> → into EWS and the committee queries. (Download the</w:t>
      </w:r>
    </w:p>
    <w:p>
      <w:r>
        <w:t>report yourself from the Probe42 portal; the tool only reads the file.)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Step 8 — Benchmark against your own book</w:t>
      </w:r>
    </w:p>
    <w:p>
      <w:r>
        <w:t>Every borrower you ingest becomes a peer. Tag industries once, then:</w:t>
      </w:r>
    </w:p>
    <w:p>
      <w:r>
        <w:rPr>
          <w:rFonts w:ascii="Consolas" w:hAnsi="Consolas"/>
          <w:color w:val="1F3B57"/>
          <w:sz w:val="17"/>
        </w:rPr>
        <w:t>.\venv\Scripts\python.exe cma.py industry "WINTAS TEXTILES" "Textiles"</w:t>
        <w:br/>
        <w:t>.\venv\Scripts\python.exe cma.py benchmark -b "WINTAS TEXTILES"</w:t>
      </w:r>
    </w:p>
    <w:p>
      <w:r>
        <w:t>The borrower is placed at a percentile among same-industry peers (whole</w:t>
      </w:r>
    </w:p>
    <w:p>
      <w:r>
        <w:t>book while an industry is thin) on margins, growth, liquidity, leverage</w:t>
      </w:r>
    </w:p>
    <w:p>
      <w:r>
        <w:t>and DSO. Maintain sector medians from public rating-agency notes for an</w:t>
      </w:r>
    </w:p>
    <w:p>
      <w:r>
        <w:t>external yardstick — they appear alongside automatically:</w:t>
      </w:r>
    </w:p>
    <w:p>
      <w:r>
        <w:rPr>
          <w:rFonts w:ascii="Consolas" w:hAnsi="Consolas"/>
          <w:color w:val="1F3B57"/>
          <w:sz w:val="17"/>
        </w:rPr>
        <w:t>.\venv\Scripts\python.exe cma.py norms "Textiles" --set ebitda_margin=0.075 current_ratio=1.25 tol_tnw=2.0 --source "CRISIL Apr 2026"</w:t>
      </w:r>
    </w:p>
    <w:p>
      <w:r>
        <w:t>The comparison sharpens with every proposal you process — and once ten</w:t>
      </w:r>
    </w:p>
    <w:p>
      <w:r>
        <w:t>borrower-years accumulate, the multivariate anomaly detector</w:t>
      </w:r>
    </w:p>
    <w:p>
      <w:r>
        <w:t>(IsolationForest) activates on its own.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data\*.docx</w:t>
      </w:r>
      <w:r>
        <w:t xml:space="preserve"> on this PC — both are excluded from the code repository.</w:t>
      </w:r>
    </w:p>
    <w:p>
      <w:r>
        <w:t xml:space="preserve">Back up </w:t>
      </w:r>
      <w:r>
        <w:rPr>
          <w:rFonts w:ascii="Consolas" w:hAnsi="Consolas"/>
          <w:sz w:val="18"/>
        </w:rPr>
        <w:t>db\cma.sqlite</w:t>
      </w:r>
      <w:r>
        <w:t xml:space="preserve"> if you want to preserve recorded registry checks</w:t>
      </w:r>
    </w:p>
    <w:p>
      <w:r>
        <w:t>and news history; everything else regenerates from the exports.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probe REPORT.pdf -b NAME      import a downloaded Probe42 report</w:t>
        <w:br/>
        <w:t xml:space="preserve">                                     (auto-records the MCA check)</w:t>
        <w:br/>
        <w:t>cma.py committee [-b NAME]           4-agent AI narrative (Ollama)</w:t>
        <w:br/>
        <w:t>cma.py benchmark [-b NAME]           borrower vs the book + industry norms</w:t>
        <w:br/>
        <w:t>cma.py industry NAME INDUSTRY        tag a borrower's industry</w:t>
        <w:br/>
        <w:t>cma.py norms INDUSTRY --set METRIC=VALUE ... [--source SRC]</w:t>
        <w:br/>
        <w:t xml:space="preserve">                                     maintain sector medians</w:t>
        <w:br/>
        <w:t xml:space="preserve">                                     metrics: ebitda_margin pat_margin</w:t>
        <w:br/>
        <w:t xml:space="preserve">                                     sales_growth current_ratio tol_tnw dso</w:t>
        <w:br/>
        <w:t>cma.py probe REPORT.pdf -b NAME      import a Probe42 company report (MCA check)</w:t>
        <w:br/>
        <w:t>cma.py filing AOC4.pdf -b NAME       tie out filed financials vs the CMA</w:t>
        <w:br/>
        <w:t>cma.py filing AUDIT.pdf -b NAME      read a scanned audit report (opinion only)</w:t>
        <w:br/>
        <w:t>cma.py manual QUESTION...            ask the loan manual (local AI, cited)</w:t>
        <w:br/>
        <w:t>cma.py manual --find QUESTION...     show raw manual passages instead</w:t>
        <w:br/>
        <w:t>cma.py manual --index FILE.md        (re)index the manual markdown</w:t>
        <w:br/>
        <w:t>cma.py serve                         REST API at 127.0.0.1:8000</w:t>
        <w:br/>
        <w:t>cma.py demo                          synthetic end-to-end demo</w:t>
      </w:r>
    </w:p>
    <w:p>
      <w:pPr>
        <w:pStyle w:val="Heading1"/>
      </w:pPr>
      <w:r>
        <w:t>7. MCA filings from Probe42 (tie-out &amp; audit opinion)</w:t>
      </w:r>
    </w:p>
    <w:p>
      <w:r>
        <w:t>Probe42 lets you download a company's actual MCA filings. Two are worth</w:t>
      </w:r>
    </w:p>
    <w:p>
      <w:r>
        <w:t>running through the tool:</w:t>
      </w:r>
    </w:p>
    <w:p>
      <w:r>
        <w:rPr>
          <w:b/>
        </w:rPr>
        <w:t>Form AOC-4</w:t>
      </w:r>
      <w:r>
        <w:t xml:space="preserve"> (the financials as filed with MCA — a clean digital PDF):</w:t>
      </w:r>
    </w:p>
    <w:p>
      <w:r>
        <w:rPr>
          <w:rFonts w:ascii="Consolas" w:hAnsi="Consolas"/>
          <w:color w:val="1F3B57"/>
          <w:sz w:val="17"/>
        </w:rPr>
        <w:t>.\cma filing "D:\DL\Form AOC-4.pdf" -b "ARROWIN METALTECH (INDIA) PRIVATE LIMITED"</w:t>
      </w:r>
    </w:p>
    <w:p>
      <w:r>
        <w:t xml:space="preserve">This </w:t>
      </w:r>
      <w:r>
        <w:rPr>
          <w:i/>
        </w:rPr>
        <w:t>ties out</w:t>
      </w:r>
      <w:r>
        <w:t xml:space="preserve"> the filed revenue, PBT, PAT, net worth and receivables</w:t>
      </w:r>
    </w:p>
    <w:p>
      <w:r>
        <w:t>against the CMA's audited column. A material mismatch on a core figure is</w:t>
      </w:r>
    </w:p>
    <w:p>
      <w:r>
        <w:t xml:space="preserve">flagged as EWS #18 — </w:t>
      </w:r>
      <w:r>
        <w:rPr>
          <w:b/>
        </w:rPr>
        <w:t>concealment of material facts</w:t>
      </w:r>
      <w:r>
        <w:t xml:space="preserve"> — which flips the</w:t>
      </w:r>
    </w:p>
    <w:p>
      <w:r>
        <w:t>RFA condition. If everything matches (as it should for an honest file),</w:t>
      </w:r>
    </w:p>
    <w:p>
      <w:r>
        <w:t>you get a clean confirmation you can cite in the memo.</w:t>
      </w:r>
    </w:p>
    <w:p>
      <w:r>
        <w:rPr>
          <w:b/>
        </w:rPr>
        <w:t>The audited annual report</w:t>
      </w:r>
      <w:r>
        <w:t xml:space="preserve"> (usually a scanned PDF). OCR reads prose</w:t>
      </w:r>
    </w:p>
    <w:p>
      <w:r>
        <w:t>reliably but mangles digits, so the tool reads it for the **auditor's</w:t>
      </w:r>
    </w:p>
    <w:p>
      <w:r>
        <w:t>opinion only** — never figures:</w:t>
      </w:r>
    </w:p>
    <w:p>
      <w:r>
        <w:rPr>
          <w:rFonts w:ascii="Consolas" w:hAnsi="Consolas"/>
          <w:color w:val="1F3B57"/>
          <w:sz w:val="17"/>
        </w:rPr>
        <w:t>.\cma filing "D:\DL\Annual Report Scanned.pdf" -b "ARROWIN METALTECH (INDIA) PRIVATE LIMITED"</w:t>
      </w:r>
    </w:p>
    <w:p>
      <w:r>
        <w:t>It reports whether the opinion looks unmodified / qualified / adverse and</w:t>
      </w:r>
    </w:p>
    <w:p>
      <w:r>
        <w:t>gives verification prompts. A clear qualified or adverse opinion feeds</w:t>
      </w:r>
    </w:p>
    <w:p>
      <w:r>
        <w:t>EWS #38; statutory-dues and going-concern remain prompts for you to</w:t>
      </w:r>
    </w:p>
    <w:p>
      <w:r>
        <w:t>confirm against the signed report. **Treat scanned-report output as</w:t>
      </w:r>
    </w:p>
    <w:p>
      <w:r>
        <w:t>prompts, not findings** — the figures and fine print must be read by eye.</w:t>
      </w:r>
    </w:p>
    <w:p>
      <w:r>
        <w:t xml:space="preserve">(If you have a Probe42 </w:t>
      </w:r>
      <w:r>
        <w:rPr>
          <w:i/>
        </w:rPr>
        <w:t>API key</w:t>
      </w:r>
      <w:r>
        <w:t xml:space="preserve"> rather than just login, `cma probe &lt;CIN&gt;</w:t>
      </w:r>
    </w:p>
    <w:p>
      <w:r>
        <w:t>-b NAME` pulls MCA master data, charges and directors directly. With only</w:t>
      </w:r>
    </w:p>
    <w:p>
      <w:r>
        <w:t xml:space="preserve">a downloaded company report, </w:t>
      </w:r>
      <w:r>
        <w:rPr>
          <w:rFonts w:ascii="Consolas" w:hAnsi="Consolas"/>
          <w:sz w:val="18"/>
        </w:rPr>
        <w:t>cma probe &lt;report&gt;.pdf -b NAME</w:t>
      </w:r>
      <w:r>
        <w:t xml:space="preserve"> imports it.)</w:t>
      </w:r>
    </w:p>
    <w:p>
      <w:pPr>
        <w:pStyle w:val="Heading1"/>
      </w:pPr>
      <w:r>
        <w:t>8. The loan manual</w:t>
      </w:r>
    </w:p>
    <w:p>
      <w:r>
        <w:t>Index the bank's Manual on Loans &amp; Advances once (markdown export):</w:t>
      </w:r>
    </w:p>
    <w:p>
      <w:r>
        <w:rPr>
          <w:rFonts w:ascii="Consolas" w:hAnsi="Consolas"/>
          <w:color w:val="1F3B57"/>
          <w:sz w:val="17"/>
        </w:rPr>
        <w:t>.\cma manual --index "D:\DL\loan-manual-pdf.md"</w:t>
      </w:r>
    </w:p>
    <w:p>
      <w:r>
        <w:t>Then ask it questions in plain language — answered by the local model</w:t>
      </w:r>
    </w:p>
    <w:p>
      <w:r>
        <w:t>strictly from the manual's own text, with chapter citations, fully</w:t>
      </w:r>
    </w:p>
    <w:p>
      <w:r>
        <w:t>offline:</w:t>
      </w:r>
    </w:p>
    <w:p>
      <w:r>
        <w:rPr>
          <w:rFonts w:ascii="Consolas" w:hAnsi="Consolas"/>
          <w:color w:val="1F3B57"/>
          <w:sz w:val="17"/>
        </w:rPr>
        <w:t>.\cma manual under second method of lending how much margin must the borrower bring</w:t>
        <w:br/>
        <w:t>.\cma manual --find drawing power stock statement   # raw passages, no AI</w:t>
      </w:r>
    </w:p>
    <w:p>
      <w:r>
        <w:t>If the extracts don't cover the question, it says so rather than</w:t>
      </w:r>
    </w:p>
    <w:p>
      <w:r>
        <w:t xml:space="preserve">guessing. Add </w:t>
      </w:r>
      <w:r>
        <w:rPr>
          <w:rFonts w:ascii="Consolas" w:hAnsi="Consolas"/>
          <w:sz w:val="18"/>
        </w:rPr>
        <w:t>--refs</w:t>
      </w:r>
      <w:r>
        <w:t xml:space="preserve"> to see the source passages under the answer, or</w:t>
      </w:r>
    </w:p>
    <w:p>
      <w:r>
        <w:rPr>
          <w:rFonts w:ascii="Consolas" w:hAnsi="Consolas"/>
          <w:sz w:val="18"/>
        </w:rPr>
        <w:t>-k 8</w:t>
      </w:r>
      <w:r>
        <w:t xml:space="preserve"> to retrieve more. The manual's text lives only in your local</w:t>
      </w:r>
    </w:p>
    <w:p>
      <w:r>
        <w:t>database — it is never committed to the code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