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F22F" w14:textId="77777777" w:rsidR="008C1FFC" w:rsidRPr="008C1FFC" w:rsidRDefault="008C1FFC" w:rsidP="008C1FFC">
      <w:pPr>
        <w:shd w:val="clear" w:color="auto" w:fill="DCE4EF"/>
        <w:spacing w:after="0" w:line="240" w:lineRule="auto"/>
        <w:rPr>
          <w:rFonts w:ascii="Mangal" w:eastAsia="Times New Roman" w:hAnsi="Mangal" w:cs="Mangal"/>
          <w:color w:val="205493"/>
          <w:kern w:val="0"/>
          <w:sz w:val="20"/>
          <w14:ligatures w14:val="none"/>
        </w:rPr>
      </w:pPr>
      <w:r w:rsidRPr="008C1FFC">
        <w:rPr>
          <w:rFonts w:ascii="Mangal" w:eastAsia="Times New Roman" w:hAnsi="Mangal" w:cs="Mangal"/>
          <w:color w:val="205493"/>
          <w:kern w:val="0"/>
          <w:sz w:val="20"/>
          <w14:ligatures w14:val="none"/>
        </w:rPr>
        <w:t>Randomized Controlled Trial</w:t>
      </w:r>
    </w:p>
    <w:p w14:paraId="6E4EC492" w14:textId="77777777" w:rsidR="008C1FFC" w:rsidRPr="008C1FFC" w:rsidRDefault="008C1FFC" w:rsidP="008C1FFC">
      <w:pPr>
        <w:spacing w:after="0" w:line="240" w:lineRule="auto"/>
        <w:rPr>
          <w:rFonts w:ascii="Mangal" w:eastAsia="Times New Roman" w:hAnsi="Mangal" w:cs="Mangal"/>
          <w:kern w:val="0"/>
          <w:sz w:val="20"/>
          <w14:ligatures w14:val="none"/>
        </w:rPr>
      </w:pPr>
      <w:r w:rsidRPr="008C1FFC">
        <w:rPr>
          <w:rFonts w:ascii="Mangal" w:eastAsia="Times New Roman" w:hAnsi="Mangal" w:cs="Mangal"/>
          <w:kern w:val="0"/>
          <w:sz w:val="20"/>
          <w14:ligatures w14:val="none"/>
        </w:rPr>
        <w:t> </w:t>
      </w:r>
    </w:p>
    <w:p w14:paraId="5ED80A86" w14:textId="77777777" w:rsidR="008C1FFC" w:rsidRPr="008C1FFC" w:rsidRDefault="008C1FFC" w:rsidP="008C1FFC">
      <w:pPr>
        <w:spacing w:after="0" w:line="240" w:lineRule="auto"/>
        <w:rPr>
          <w:rFonts w:ascii="Mangal" w:eastAsia="Times New Roman" w:hAnsi="Mangal" w:cs="Mangal"/>
          <w:color w:val="5B616B"/>
          <w:kern w:val="0"/>
          <w:sz w:val="20"/>
          <w14:ligatures w14:val="none"/>
        </w:rPr>
      </w:pPr>
      <w:r w:rsidRPr="008C1FFC">
        <w:rPr>
          <w:rFonts w:ascii="Mangal" w:eastAsia="Times New Roman" w:hAnsi="Mangal" w:cs="Mangal"/>
          <w:color w:val="5B616B"/>
          <w:kern w:val="0"/>
          <w:sz w:val="20"/>
          <w14:ligatures w14:val="none"/>
        </w:rPr>
        <w:t>Eur J Clin Nutr</w:t>
      </w:r>
    </w:p>
    <w:p w14:paraId="2118AFB1" w14:textId="77777777" w:rsidR="008C1FFC" w:rsidRPr="008C1FFC" w:rsidRDefault="008C1FFC" w:rsidP="008C1FFC">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4B18DA30" w14:textId="77777777" w:rsidR="008C1FFC" w:rsidRPr="008C1FFC" w:rsidRDefault="008C1FFC" w:rsidP="008C1FFC">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37748D2" w14:textId="77777777" w:rsidR="008C1FFC" w:rsidRPr="008C1FFC" w:rsidRDefault="008C1FFC" w:rsidP="008C1FFC">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62314A8C" w14:textId="77777777" w:rsidR="008C1FFC" w:rsidRPr="008C1FFC" w:rsidRDefault="008C1FFC" w:rsidP="008C1FFC">
      <w:pPr>
        <w:spacing w:after="0" w:line="240" w:lineRule="auto"/>
        <w:rPr>
          <w:rFonts w:ascii="Mangal" w:eastAsia="Times New Roman" w:hAnsi="Mangal" w:cs="Mangal"/>
          <w:color w:val="5B616B"/>
          <w:kern w:val="0"/>
          <w:sz w:val="20"/>
          <w14:ligatures w14:val="none"/>
        </w:rPr>
      </w:pPr>
      <w:r w:rsidRPr="008C1FFC">
        <w:rPr>
          <w:rFonts w:ascii="Mangal" w:eastAsia="Times New Roman" w:hAnsi="Mangal" w:cs="Mangal"/>
          <w:color w:val="0071BC"/>
          <w:kern w:val="0"/>
          <w:sz w:val="20"/>
          <w14:ligatures w14:val="none"/>
        </w:rPr>
        <w:t>. </w:t>
      </w:r>
      <w:r w:rsidRPr="008C1FFC">
        <w:rPr>
          <w:rFonts w:ascii="Mangal" w:eastAsia="Times New Roman" w:hAnsi="Mangal" w:cs="Mangal"/>
          <w:color w:val="5B616B"/>
          <w:kern w:val="0"/>
          <w:sz w:val="20"/>
          <w14:ligatures w14:val="none"/>
        </w:rPr>
        <w:t>2016 Jun;70(6):730-7.</w:t>
      </w:r>
    </w:p>
    <w:p w14:paraId="1805C7C9" w14:textId="77777777" w:rsidR="008C1FFC" w:rsidRPr="008C1FFC" w:rsidRDefault="008C1FFC" w:rsidP="008C1FFC">
      <w:pPr>
        <w:spacing w:after="0" w:line="240" w:lineRule="auto"/>
        <w:rPr>
          <w:rFonts w:ascii="Mangal" w:eastAsia="Times New Roman" w:hAnsi="Mangal" w:cs="Mangal"/>
          <w:kern w:val="0"/>
          <w:sz w:val="20"/>
          <w14:ligatures w14:val="none"/>
        </w:rPr>
      </w:pPr>
      <w:r w:rsidRPr="008C1FFC">
        <w:rPr>
          <w:rFonts w:ascii="Mangal" w:eastAsia="Times New Roman" w:hAnsi="Mangal" w:cs="Mangal"/>
          <w:kern w:val="0"/>
          <w:sz w:val="20"/>
          <w14:ligatures w14:val="none"/>
        </w:rPr>
        <w:t> </w:t>
      </w:r>
      <w:r w:rsidRPr="008C1FFC">
        <w:rPr>
          <w:rFonts w:ascii="Mangal" w:eastAsia="Times New Roman" w:hAnsi="Mangal" w:cs="Mangal"/>
          <w:color w:val="5B616B"/>
          <w:kern w:val="0"/>
          <w:sz w:val="20"/>
          <w14:ligatures w14:val="none"/>
        </w:rPr>
        <w:t>doi: 10.1038/ejcn.2015.215.</w:t>
      </w:r>
      <w:r w:rsidRPr="008C1FFC">
        <w:rPr>
          <w:rFonts w:ascii="Mangal" w:eastAsia="Times New Roman" w:hAnsi="Mangal" w:cs="Mangal"/>
          <w:kern w:val="0"/>
          <w:sz w:val="20"/>
          <w14:ligatures w14:val="none"/>
        </w:rPr>
        <w:t> </w:t>
      </w:r>
      <w:r w:rsidRPr="008C1FFC">
        <w:rPr>
          <w:rFonts w:ascii="Mangal" w:eastAsia="Times New Roman" w:hAnsi="Mangal" w:cs="Mangal"/>
          <w:color w:val="5B616B"/>
          <w:kern w:val="0"/>
          <w:sz w:val="20"/>
          <w14:ligatures w14:val="none"/>
        </w:rPr>
        <w:t>Epub 2015 Dec 23.</w:t>
      </w:r>
    </w:p>
    <w:p w14:paraId="30CE2537" w14:textId="77777777" w:rsidR="008C1FFC" w:rsidRPr="008C1FFC" w:rsidRDefault="008C1FFC" w:rsidP="008C1FFC">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8C1FFC">
        <w:rPr>
          <w:rFonts w:ascii="Merriweather" w:eastAsia="Times New Roman" w:hAnsi="Merriweather" w:cs="Mangal"/>
          <w:b/>
          <w:bCs/>
          <w:kern w:val="36"/>
          <w:sz w:val="48"/>
          <w:szCs w:val="48"/>
          <w14:ligatures w14:val="none"/>
        </w:rPr>
        <w:t>Impact of weekly iron folic acid supplementation with and without vitamin B12 on anaemic adolescent girls: a randomised clinical trial</w:t>
      </w:r>
    </w:p>
    <w:p w14:paraId="6F76757C" w14:textId="77777777" w:rsidR="008C1FFC" w:rsidRPr="008C1FFC" w:rsidRDefault="008C1FFC" w:rsidP="008C1FFC">
      <w:pPr>
        <w:spacing w:after="0" w:line="240" w:lineRule="auto"/>
        <w:rPr>
          <w:rFonts w:ascii="Mangal" w:eastAsia="Times New Roman" w:hAnsi="Mangal" w:cs="Mangal"/>
          <w:color w:val="5B616B"/>
          <w:kern w:val="0"/>
          <w:sz w:val="20"/>
          <w14:ligatures w14:val="none"/>
        </w:rPr>
      </w:pPr>
      <w:hyperlink r:id="rId5" w:history="1">
        <w:r w:rsidRPr="008C1FFC">
          <w:rPr>
            <w:rFonts w:ascii="Mangal" w:eastAsia="Times New Roman" w:hAnsi="Mangal" w:cs="Mangal"/>
            <w:color w:val="0071BC"/>
            <w:kern w:val="0"/>
            <w:sz w:val="20"/>
            <w:u w:val="single"/>
            <w14:ligatures w14:val="none"/>
          </w:rPr>
          <w:t>P G Bansal</w:t>
        </w:r>
      </w:hyperlink>
      <w:r w:rsidRPr="008C1FFC">
        <w:rPr>
          <w:rFonts w:ascii="Mangal" w:eastAsia="Times New Roman" w:hAnsi="Mangal" w:cs="Mangal"/>
          <w:color w:val="5B616B"/>
          <w:kern w:val="0"/>
          <w:sz w:val="18"/>
          <w:szCs w:val="18"/>
          <w:vertAlign w:val="superscript"/>
          <w14:ligatures w14:val="none"/>
        </w:rPr>
        <w:t> </w:t>
      </w:r>
      <w:hyperlink r:id="rId6" w:anchor="full-view-affiliation-1" w:tooltip="Centre for Promotion of Nutrition Research and Training with Special Focus on North-East, Tribal and Inaccessible Population (Indian Council of Medical Research), New Delhi, India." w:history="1">
        <w:r w:rsidRPr="008C1FFC">
          <w:rPr>
            <w:rFonts w:ascii="Mangal" w:eastAsia="Times New Roman" w:hAnsi="Mangal" w:cs="Mangal"/>
            <w:color w:val="323A45"/>
            <w:kern w:val="0"/>
            <w:sz w:val="18"/>
            <w:szCs w:val="18"/>
            <w:u w:val="single"/>
            <w:shd w:val="clear" w:color="auto" w:fill="F1F1F1"/>
            <w:vertAlign w:val="superscript"/>
            <w14:ligatures w14:val="none"/>
          </w:rPr>
          <w:t>1</w:t>
        </w:r>
      </w:hyperlink>
      <w:r w:rsidRPr="008C1FFC">
        <w:rPr>
          <w:rFonts w:ascii="Mangal" w:eastAsia="Times New Roman" w:hAnsi="Mangal" w:cs="Mangal"/>
          <w:color w:val="5B616B"/>
          <w:kern w:val="0"/>
          <w:sz w:val="20"/>
          <w14:ligatures w14:val="none"/>
        </w:rPr>
        <w:t>, </w:t>
      </w:r>
      <w:hyperlink r:id="rId7" w:history="1">
        <w:r w:rsidRPr="008C1FFC">
          <w:rPr>
            <w:rFonts w:ascii="Mangal" w:eastAsia="Times New Roman" w:hAnsi="Mangal" w:cs="Mangal"/>
            <w:color w:val="0071BC"/>
            <w:kern w:val="0"/>
            <w:sz w:val="20"/>
            <w:u w:val="single"/>
            <w14:ligatures w14:val="none"/>
          </w:rPr>
          <w:t>G S Toteja</w:t>
        </w:r>
      </w:hyperlink>
      <w:r w:rsidRPr="008C1FFC">
        <w:rPr>
          <w:rFonts w:ascii="Mangal" w:eastAsia="Times New Roman" w:hAnsi="Mangal" w:cs="Mangal"/>
          <w:color w:val="5B616B"/>
          <w:kern w:val="0"/>
          <w:sz w:val="18"/>
          <w:szCs w:val="18"/>
          <w:vertAlign w:val="superscript"/>
          <w14:ligatures w14:val="none"/>
        </w:rPr>
        <w:t> </w:t>
      </w:r>
      <w:hyperlink r:id="rId8" w:anchor="full-view-affiliation-1" w:tooltip="Centre for Promotion of Nutrition Research and Training with Special Focus on North-East, Tribal and Inaccessible Population (Indian Council of Medical Research), New Delhi, India." w:history="1">
        <w:r w:rsidRPr="008C1FFC">
          <w:rPr>
            <w:rFonts w:ascii="Mangal" w:eastAsia="Times New Roman" w:hAnsi="Mangal" w:cs="Mangal"/>
            <w:color w:val="323A45"/>
            <w:kern w:val="0"/>
            <w:sz w:val="18"/>
            <w:szCs w:val="18"/>
            <w:u w:val="single"/>
            <w:shd w:val="clear" w:color="auto" w:fill="F1F1F1"/>
            <w:vertAlign w:val="superscript"/>
            <w14:ligatures w14:val="none"/>
          </w:rPr>
          <w:t>1</w:t>
        </w:r>
      </w:hyperlink>
      <w:r w:rsidRPr="008C1FFC">
        <w:rPr>
          <w:rFonts w:ascii="Mangal" w:eastAsia="Times New Roman" w:hAnsi="Mangal" w:cs="Mangal"/>
          <w:color w:val="5B616B"/>
          <w:kern w:val="0"/>
          <w:sz w:val="20"/>
          <w14:ligatures w14:val="none"/>
        </w:rPr>
        <w:t>, </w:t>
      </w:r>
      <w:hyperlink r:id="rId9" w:history="1">
        <w:r w:rsidRPr="008C1FFC">
          <w:rPr>
            <w:rFonts w:ascii="Mangal" w:eastAsia="Times New Roman" w:hAnsi="Mangal" w:cs="Mangal"/>
            <w:color w:val="0071BC"/>
            <w:kern w:val="0"/>
            <w:sz w:val="20"/>
            <w:u w:val="single"/>
            <w14:ligatures w14:val="none"/>
          </w:rPr>
          <w:t>N Bhatia</w:t>
        </w:r>
      </w:hyperlink>
      <w:r w:rsidRPr="008C1FFC">
        <w:rPr>
          <w:rFonts w:ascii="Mangal" w:eastAsia="Times New Roman" w:hAnsi="Mangal" w:cs="Mangal"/>
          <w:color w:val="5B616B"/>
          <w:kern w:val="0"/>
          <w:sz w:val="18"/>
          <w:szCs w:val="18"/>
          <w:vertAlign w:val="superscript"/>
          <w14:ligatures w14:val="none"/>
        </w:rPr>
        <w:t> </w:t>
      </w:r>
      <w:hyperlink r:id="rId10" w:anchor="full-view-affiliation-2" w:tooltip="Department of Food and Nutrition, Lady Irwin College, University of Delhi, New Delhi, India." w:history="1">
        <w:r w:rsidRPr="008C1FFC">
          <w:rPr>
            <w:rFonts w:ascii="Mangal" w:eastAsia="Times New Roman" w:hAnsi="Mangal" w:cs="Mangal"/>
            <w:color w:val="323A45"/>
            <w:kern w:val="0"/>
            <w:sz w:val="18"/>
            <w:szCs w:val="18"/>
            <w:u w:val="single"/>
            <w:shd w:val="clear" w:color="auto" w:fill="F1F1F1"/>
            <w:vertAlign w:val="superscript"/>
            <w14:ligatures w14:val="none"/>
          </w:rPr>
          <w:t>2</w:t>
        </w:r>
      </w:hyperlink>
      <w:r w:rsidRPr="008C1FFC">
        <w:rPr>
          <w:rFonts w:ascii="Mangal" w:eastAsia="Times New Roman" w:hAnsi="Mangal" w:cs="Mangal"/>
          <w:color w:val="5B616B"/>
          <w:kern w:val="0"/>
          <w:sz w:val="20"/>
          <w14:ligatures w14:val="none"/>
        </w:rPr>
        <w:t>, </w:t>
      </w:r>
      <w:hyperlink r:id="rId11" w:history="1">
        <w:r w:rsidRPr="008C1FFC">
          <w:rPr>
            <w:rFonts w:ascii="Mangal" w:eastAsia="Times New Roman" w:hAnsi="Mangal" w:cs="Mangal"/>
            <w:color w:val="0071BC"/>
            <w:kern w:val="0"/>
            <w:sz w:val="20"/>
            <w:u w:val="single"/>
            <w14:ligatures w14:val="none"/>
          </w:rPr>
          <w:t>N K Vikram</w:t>
        </w:r>
      </w:hyperlink>
      <w:r w:rsidRPr="008C1FFC">
        <w:rPr>
          <w:rFonts w:ascii="Mangal" w:eastAsia="Times New Roman" w:hAnsi="Mangal" w:cs="Mangal"/>
          <w:color w:val="5B616B"/>
          <w:kern w:val="0"/>
          <w:sz w:val="18"/>
          <w:szCs w:val="18"/>
          <w:vertAlign w:val="superscript"/>
          <w14:ligatures w14:val="none"/>
        </w:rPr>
        <w:t> </w:t>
      </w:r>
      <w:hyperlink r:id="rId12" w:anchor="full-view-affiliation-3" w:tooltip="Department of Medicine, All India Institute of Medical Sciences, New Delhi, India." w:history="1">
        <w:r w:rsidRPr="008C1FFC">
          <w:rPr>
            <w:rFonts w:ascii="Mangal" w:eastAsia="Times New Roman" w:hAnsi="Mangal" w:cs="Mangal"/>
            <w:color w:val="323A45"/>
            <w:kern w:val="0"/>
            <w:sz w:val="18"/>
            <w:szCs w:val="18"/>
            <w:u w:val="single"/>
            <w:shd w:val="clear" w:color="auto" w:fill="F1F1F1"/>
            <w:vertAlign w:val="superscript"/>
            <w14:ligatures w14:val="none"/>
          </w:rPr>
          <w:t>3</w:t>
        </w:r>
      </w:hyperlink>
      <w:r w:rsidRPr="008C1FFC">
        <w:rPr>
          <w:rFonts w:ascii="Mangal" w:eastAsia="Times New Roman" w:hAnsi="Mangal" w:cs="Mangal"/>
          <w:color w:val="5B616B"/>
          <w:kern w:val="0"/>
          <w:sz w:val="20"/>
          <w14:ligatures w14:val="none"/>
        </w:rPr>
        <w:t>, </w:t>
      </w:r>
      <w:hyperlink r:id="rId13" w:history="1">
        <w:r w:rsidRPr="008C1FFC">
          <w:rPr>
            <w:rFonts w:ascii="Mangal" w:eastAsia="Times New Roman" w:hAnsi="Mangal" w:cs="Mangal"/>
            <w:color w:val="0071BC"/>
            <w:kern w:val="0"/>
            <w:sz w:val="20"/>
            <w:u w:val="single"/>
            <w14:ligatures w14:val="none"/>
          </w:rPr>
          <w:t>A Siddhu</w:t>
        </w:r>
      </w:hyperlink>
      <w:r w:rsidRPr="008C1FFC">
        <w:rPr>
          <w:rFonts w:ascii="Mangal" w:eastAsia="Times New Roman" w:hAnsi="Mangal" w:cs="Mangal"/>
          <w:color w:val="5B616B"/>
          <w:kern w:val="0"/>
          <w:sz w:val="18"/>
          <w:szCs w:val="18"/>
          <w:vertAlign w:val="superscript"/>
          <w14:ligatures w14:val="none"/>
        </w:rPr>
        <w:t> </w:t>
      </w:r>
      <w:hyperlink r:id="rId14" w:anchor="full-view-affiliation-2" w:tooltip="Department of Food and Nutrition, Lady Irwin College, University of Delhi, New Delhi, India." w:history="1">
        <w:r w:rsidRPr="008C1FFC">
          <w:rPr>
            <w:rFonts w:ascii="Mangal" w:eastAsia="Times New Roman" w:hAnsi="Mangal" w:cs="Mangal"/>
            <w:color w:val="323A45"/>
            <w:kern w:val="0"/>
            <w:sz w:val="18"/>
            <w:szCs w:val="18"/>
            <w:u w:val="single"/>
            <w:shd w:val="clear" w:color="auto" w:fill="F1F1F1"/>
            <w:vertAlign w:val="superscript"/>
            <w14:ligatures w14:val="none"/>
          </w:rPr>
          <w:t>2</w:t>
        </w:r>
      </w:hyperlink>
    </w:p>
    <w:p w14:paraId="2E861354" w14:textId="77777777" w:rsidR="008C1FFC" w:rsidRPr="008C1FFC" w:rsidRDefault="008C1FFC" w:rsidP="008C1FFC">
      <w:pPr>
        <w:spacing w:after="0" w:line="240" w:lineRule="auto"/>
        <w:rPr>
          <w:rFonts w:ascii="Mangal" w:eastAsia="Times New Roman" w:hAnsi="Mangal" w:cs="Mangal"/>
          <w:kern w:val="0"/>
          <w:sz w:val="20"/>
          <w14:ligatures w14:val="none"/>
        </w:rPr>
      </w:pPr>
      <w:r w:rsidRPr="008C1FFC">
        <w:rPr>
          <w:rFonts w:ascii="Mangal" w:eastAsia="Times New Roman" w:hAnsi="Mangal" w:cs="Mangal"/>
          <w:kern w:val="0"/>
          <w:sz w:val="20"/>
          <w14:ligatures w14:val="none"/>
        </w:rPr>
        <w:t>Affiliations expand</w:t>
      </w:r>
    </w:p>
    <w:p w14:paraId="68A04BF7" w14:textId="77777777" w:rsidR="008C1FFC" w:rsidRPr="008C1FFC" w:rsidRDefault="008C1FFC" w:rsidP="008C1FFC">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8C1FFC">
        <w:rPr>
          <w:rFonts w:ascii="Mangal" w:eastAsia="Times New Roman" w:hAnsi="Mangal" w:cs="Mangal"/>
          <w:kern w:val="0"/>
          <w:sz w:val="20"/>
          <w14:ligatures w14:val="none"/>
        </w:rPr>
        <w:t>PMID: </w:t>
      </w:r>
      <w:r w:rsidRPr="008C1FFC">
        <w:rPr>
          <w:rFonts w:ascii="Mangal" w:eastAsia="Times New Roman" w:hAnsi="Mangal" w:cs="Mangal"/>
          <w:color w:val="212121"/>
          <w:kern w:val="0"/>
          <w:sz w:val="20"/>
          <w14:ligatures w14:val="none"/>
        </w:rPr>
        <w:t>26695724</w:t>
      </w:r>
    </w:p>
    <w:p w14:paraId="688F2363" w14:textId="77777777" w:rsidR="008C1FFC" w:rsidRPr="008C1FFC" w:rsidRDefault="008C1FFC" w:rsidP="008C1FFC">
      <w:pPr>
        <w:spacing w:after="0" w:line="240" w:lineRule="auto"/>
        <w:ind w:left="720"/>
        <w:rPr>
          <w:rFonts w:ascii="Mangal" w:eastAsia="Times New Roman" w:hAnsi="Mangal" w:cs="Mangal"/>
          <w:kern w:val="0"/>
          <w:sz w:val="20"/>
          <w14:ligatures w14:val="none"/>
        </w:rPr>
      </w:pPr>
      <w:r w:rsidRPr="008C1FFC">
        <w:rPr>
          <w:rFonts w:ascii="Mangal" w:eastAsia="Times New Roman" w:hAnsi="Mangal" w:cs="Mangal"/>
          <w:kern w:val="0"/>
          <w:sz w:val="20"/>
          <w14:ligatures w14:val="none"/>
        </w:rPr>
        <w:t> </w:t>
      </w:r>
    </w:p>
    <w:p w14:paraId="564D72F1" w14:textId="77777777" w:rsidR="008C1FFC" w:rsidRPr="008C1FFC" w:rsidRDefault="008C1FFC" w:rsidP="008C1FFC">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8C1FFC">
        <w:rPr>
          <w:rFonts w:ascii="Mangal" w:eastAsia="Times New Roman" w:hAnsi="Mangal" w:cs="Mangal"/>
          <w:kern w:val="0"/>
          <w:sz w:val="20"/>
          <w14:ligatures w14:val="none"/>
        </w:rPr>
        <w:t>DOI: </w:t>
      </w:r>
      <w:hyperlink r:id="rId15" w:tgtFrame="_blank" w:history="1">
        <w:r w:rsidRPr="008C1FFC">
          <w:rPr>
            <w:rFonts w:ascii="Mangal" w:eastAsia="Times New Roman" w:hAnsi="Mangal" w:cs="Mangal"/>
            <w:color w:val="0071BC"/>
            <w:kern w:val="0"/>
            <w:sz w:val="20"/>
            <w:u w:val="single"/>
            <w14:ligatures w14:val="none"/>
          </w:rPr>
          <w:t>10.1038/ejcn.2015.215</w:t>
        </w:r>
      </w:hyperlink>
    </w:p>
    <w:p w14:paraId="743F698E" w14:textId="77777777" w:rsidR="008C1FFC" w:rsidRPr="008C1FFC" w:rsidRDefault="008C1FFC" w:rsidP="008C1FFC">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8C1FFC">
        <w:rPr>
          <w:rFonts w:ascii="Merriweather" w:eastAsia="Times New Roman" w:hAnsi="Merriweather" w:cs="Segoe UI"/>
          <w:b/>
          <w:bCs/>
          <w:color w:val="212121"/>
          <w:kern w:val="0"/>
          <w:sz w:val="36"/>
          <w:szCs w:val="36"/>
          <w14:ligatures w14:val="none"/>
        </w:rPr>
        <w:t>Abstract</w:t>
      </w:r>
    </w:p>
    <w:p w14:paraId="3FC15CE7" w14:textId="77777777" w:rsidR="008C1FFC" w:rsidRPr="008C1FFC" w:rsidRDefault="008C1FFC" w:rsidP="008C1FFC">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C1FFC">
        <w:rPr>
          <w:rFonts w:ascii="Segoe UI" w:eastAsia="Times New Roman" w:hAnsi="Segoe UI" w:cs="Segoe UI"/>
          <w:b/>
          <w:bCs/>
          <w:color w:val="212121"/>
          <w:kern w:val="0"/>
          <w:sz w:val="24"/>
          <w:szCs w:val="24"/>
          <w14:ligatures w14:val="none"/>
        </w:rPr>
        <w:t>Background/objectives: </w:t>
      </w:r>
      <w:r w:rsidRPr="008C1FFC">
        <w:rPr>
          <w:rFonts w:ascii="Segoe UI" w:eastAsia="Times New Roman" w:hAnsi="Segoe UI" w:cs="Segoe UI"/>
          <w:color w:val="212121"/>
          <w:kern w:val="0"/>
          <w:sz w:val="24"/>
          <w:szCs w:val="24"/>
          <w14:ligatures w14:val="none"/>
        </w:rPr>
        <w:t>In India, approx. 70% of the adolescent girls are anaemic (haemolgobin &lt;120 g/l). The present study was a supervised randomised double-blind clinical trial conducted among adolescent girls (11-18 years) to assess and compare the impact of weekly iron folic acid (IFA) supplementation with or without vitamin B12 on reduction in the prevalence of anaemia and on blood/serum levels of haemoglobin, serum ferritin, folic acid and vitamin B12.</w:t>
      </w:r>
    </w:p>
    <w:p w14:paraId="7815EE8B" w14:textId="77777777" w:rsidR="008C1FFC" w:rsidRPr="008C1FFC" w:rsidRDefault="008C1FFC" w:rsidP="008C1FFC">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C1FFC">
        <w:rPr>
          <w:rFonts w:ascii="Segoe UI" w:eastAsia="Times New Roman" w:hAnsi="Segoe UI" w:cs="Segoe UI"/>
          <w:b/>
          <w:bCs/>
          <w:color w:val="212121"/>
          <w:kern w:val="0"/>
          <w:sz w:val="24"/>
          <w:szCs w:val="24"/>
          <w14:ligatures w14:val="none"/>
        </w:rPr>
        <w:t>Subjects/methods: </w:t>
      </w:r>
      <w:r w:rsidRPr="008C1FFC">
        <w:rPr>
          <w:rFonts w:ascii="Segoe UI" w:eastAsia="Times New Roman" w:hAnsi="Segoe UI" w:cs="Segoe UI"/>
          <w:color w:val="212121"/>
          <w:kern w:val="0"/>
          <w:sz w:val="24"/>
          <w:szCs w:val="24"/>
          <w14:ligatures w14:val="none"/>
        </w:rPr>
        <w:t xml:space="preserve">Community-based randomized controlled trial was carried out in Kirti Nagar slums of West Delhi. A total of 446 mild (100-119 g/l) and moderate (70-99 g/l) anaemic volunteer adolescent girls were identified and randomised into two groups. Weekly supervised supplementation was given for 26 weeks: Group A (n=222): iron (100 mg), folic acid (500 mcg) and placebo; Group B (n=224): iron (100 mg), folic acid (500 mcg) and cyanocobalamin (500 mcg for 6 weeks and 15 mcg for 20 weeks). Haemoglobin, serum ferritin, folic acid and vitamin B12 levels were </w:t>
      </w:r>
      <w:r w:rsidRPr="008C1FFC">
        <w:rPr>
          <w:rFonts w:ascii="Segoe UI" w:eastAsia="Times New Roman" w:hAnsi="Segoe UI" w:cs="Segoe UI"/>
          <w:color w:val="212121"/>
          <w:kern w:val="0"/>
          <w:sz w:val="24"/>
          <w:szCs w:val="24"/>
          <w14:ligatures w14:val="none"/>
        </w:rPr>
        <w:lastRenderedPageBreak/>
        <w:t>assessed at baseline and after intervention. A total of 373 subjects completed 26 weeks of supplementation successfully.</w:t>
      </w:r>
    </w:p>
    <w:p w14:paraId="7C6D4886" w14:textId="77777777" w:rsidR="008C1FFC" w:rsidRPr="008C1FFC" w:rsidRDefault="008C1FFC" w:rsidP="008C1FFC">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C1FFC">
        <w:rPr>
          <w:rFonts w:ascii="Segoe UI" w:eastAsia="Times New Roman" w:hAnsi="Segoe UI" w:cs="Segoe UI"/>
          <w:b/>
          <w:bCs/>
          <w:color w:val="212121"/>
          <w:kern w:val="0"/>
          <w:sz w:val="24"/>
          <w:szCs w:val="24"/>
          <w14:ligatures w14:val="none"/>
        </w:rPr>
        <w:t>Results: </w:t>
      </w:r>
      <w:r w:rsidRPr="008C1FFC">
        <w:rPr>
          <w:rFonts w:ascii="Segoe UI" w:eastAsia="Times New Roman" w:hAnsi="Segoe UI" w:cs="Segoe UI"/>
          <w:color w:val="212121"/>
          <w:kern w:val="0"/>
          <w:sz w:val="24"/>
          <w:szCs w:val="24"/>
          <w14:ligatures w14:val="none"/>
        </w:rPr>
        <w:t>The mean haemoglobin increased from 106.7±11.2 g/l and 108.9±8.91 g/l in Group A and Group B at baseline to 116.4±10.8 g/l (P&lt;0.001) and 116.5±10.26 g/l (P&lt;0.001) at post-intervention, respectively, with the reduction in the prevalence of anaemia by 35.9% in Group A and 39.7% in Group B (P&gt;0.05). A total of 63.3% participants had deficient vitamin B12 levels (&lt;203 pg/ml) at baseline, which reduced to 40.4% after intervention with cyanocobalamin, whereas no change was observed in vitamin B12 status in the other group. Significant reduction (P=0.01) in the prevalence of serum ferritin deficiency (&lt;15 ng/ml) was observed in the group supplemented with vitamin B12 (from 36.5 to 6.4%) as compared with the other group supplemented with only IFA (from 39.1 to 15.2%).</w:t>
      </w:r>
    </w:p>
    <w:p w14:paraId="07842A9A" w14:textId="77777777" w:rsidR="008C1FFC" w:rsidRPr="008C1FFC" w:rsidRDefault="008C1FFC" w:rsidP="008C1FFC">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C1FFC">
        <w:rPr>
          <w:rFonts w:ascii="Segoe UI" w:eastAsia="Times New Roman" w:hAnsi="Segoe UI" w:cs="Segoe UI"/>
          <w:b/>
          <w:bCs/>
          <w:color w:val="212121"/>
          <w:kern w:val="0"/>
          <w:sz w:val="24"/>
          <w:szCs w:val="24"/>
          <w14:ligatures w14:val="none"/>
        </w:rPr>
        <w:t>Conclusions: </w:t>
      </w:r>
      <w:r w:rsidRPr="008C1FFC">
        <w:rPr>
          <w:rFonts w:ascii="Segoe UI" w:eastAsia="Times New Roman" w:hAnsi="Segoe UI" w:cs="Segoe UI"/>
          <w:color w:val="212121"/>
          <w:kern w:val="0"/>
          <w:sz w:val="24"/>
          <w:szCs w:val="24"/>
          <w14:ligatures w14:val="none"/>
        </w:rPr>
        <w:t>IFA supplementation with or without vitamin B12 is an effective measure to cure anaemia. Although addition of vitamin B12 had similar impact on improving haemoglobin status as IFA alone, it resulted in better ferritin status. Hence, more multi-centre studies with a longer duration of supplementation or higher dose of vitamin B12 may be undertaken to assess the possible impact of vitamin B12 on improving haemoglobin levels in the population.</w:t>
      </w:r>
    </w:p>
    <w:p w14:paraId="336CC474" w14:textId="77777777" w:rsidR="008C1FFC" w:rsidRDefault="008C1FFC"/>
    <w:sectPr w:rsidR="008C1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4855"/>
    <w:multiLevelType w:val="multilevel"/>
    <w:tmpl w:val="359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31651"/>
    <w:multiLevelType w:val="multilevel"/>
    <w:tmpl w:val="BEE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349759">
    <w:abstractNumId w:val="0"/>
  </w:num>
  <w:num w:numId="2" w16cid:durableId="355237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FC"/>
    <w:rsid w:val="008C1F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FB66"/>
  <w15:chartTrackingRefBased/>
  <w15:docId w15:val="{80B9E61C-7329-4266-9041-7CF840F1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FFC"/>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8C1FFC"/>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FFC"/>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8C1FFC"/>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8C1FFC"/>
    <w:rPr>
      <w:color w:val="0000FF"/>
      <w:u w:val="single"/>
    </w:rPr>
  </w:style>
  <w:style w:type="character" w:customStyle="1" w:styleId="period">
    <w:name w:val="period"/>
    <w:basedOn w:val="DefaultParagraphFont"/>
    <w:rsid w:val="008C1FFC"/>
  </w:style>
  <w:style w:type="character" w:customStyle="1" w:styleId="cit">
    <w:name w:val="cit"/>
    <w:basedOn w:val="DefaultParagraphFont"/>
    <w:rsid w:val="008C1FFC"/>
  </w:style>
  <w:style w:type="character" w:customStyle="1" w:styleId="citation-doi">
    <w:name w:val="citation-doi"/>
    <w:basedOn w:val="DefaultParagraphFont"/>
    <w:rsid w:val="008C1FFC"/>
  </w:style>
  <w:style w:type="character" w:customStyle="1" w:styleId="secondary-date">
    <w:name w:val="secondary-date"/>
    <w:basedOn w:val="DefaultParagraphFont"/>
    <w:rsid w:val="008C1FFC"/>
  </w:style>
  <w:style w:type="character" w:customStyle="1" w:styleId="authors-list-item">
    <w:name w:val="authors-list-item"/>
    <w:basedOn w:val="DefaultParagraphFont"/>
    <w:rsid w:val="008C1FFC"/>
  </w:style>
  <w:style w:type="character" w:customStyle="1" w:styleId="author-sup-separator">
    <w:name w:val="author-sup-separator"/>
    <w:basedOn w:val="DefaultParagraphFont"/>
    <w:rsid w:val="008C1FFC"/>
  </w:style>
  <w:style w:type="character" w:customStyle="1" w:styleId="comma">
    <w:name w:val="comma"/>
    <w:basedOn w:val="DefaultParagraphFont"/>
    <w:rsid w:val="008C1FFC"/>
  </w:style>
  <w:style w:type="character" w:customStyle="1" w:styleId="title">
    <w:name w:val="title"/>
    <w:basedOn w:val="DefaultParagraphFont"/>
    <w:rsid w:val="008C1FFC"/>
  </w:style>
  <w:style w:type="character" w:customStyle="1" w:styleId="identifier">
    <w:name w:val="identifier"/>
    <w:basedOn w:val="DefaultParagraphFont"/>
    <w:rsid w:val="008C1FFC"/>
  </w:style>
  <w:style w:type="character" w:customStyle="1" w:styleId="id-label">
    <w:name w:val="id-label"/>
    <w:basedOn w:val="DefaultParagraphFont"/>
    <w:rsid w:val="008C1FFC"/>
  </w:style>
  <w:style w:type="character" w:styleId="Strong">
    <w:name w:val="Strong"/>
    <w:basedOn w:val="DefaultParagraphFont"/>
    <w:uiPriority w:val="22"/>
    <w:qFormat/>
    <w:rsid w:val="008C1FFC"/>
    <w:rPr>
      <w:b/>
      <w:bCs/>
    </w:rPr>
  </w:style>
  <w:style w:type="paragraph" w:styleId="NormalWeb">
    <w:name w:val="Normal (Web)"/>
    <w:basedOn w:val="Normal"/>
    <w:uiPriority w:val="99"/>
    <w:semiHidden/>
    <w:unhideWhenUsed/>
    <w:rsid w:val="008C1FFC"/>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42819">
      <w:bodyDiv w:val="1"/>
      <w:marLeft w:val="0"/>
      <w:marRight w:val="0"/>
      <w:marTop w:val="0"/>
      <w:marBottom w:val="0"/>
      <w:divBdr>
        <w:top w:val="none" w:sz="0" w:space="0" w:color="auto"/>
        <w:left w:val="none" w:sz="0" w:space="0" w:color="auto"/>
        <w:bottom w:val="none" w:sz="0" w:space="0" w:color="auto"/>
        <w:right w:val="none" w:sz="0" w:space="0" w:color="auto"/>
      </w:divBdr>
      <w:divsChild>
        <w:div w:id="1584682112">
          <w:marLeft w:val="0"/>
          <w:marRight w:val="0"/>
          <w:marTop w:val="0"/>
          <w:marBottom w:val="0"/>
          <w:divBdr>
            <w:top w:val="none" w:sz="0" w:space="0" w:color="auto"/>
            <w:left w:val="none" w:sz="0" w:space="0" w:color="auto"/>
            <w:bottom w:val="none" w:sz="0" w:space="0" w:color="auto"/>
            <w:right w:val="none" w:sz="0" w:space="0" w:color="auto"/>
          </w:divBdr>
          <w:divsChild>
            <w:div w:id="675111433">
              <w:marLeft w:val="0"/>
              <w:marRight w:val="0"/>
              <w:marTop w:val="0"/>
              <w:marBottom w:val="0"/>
              <w:divBdr>
                <w:top w:val="none" w:sz="0" w:space="0" w:color="auto"/>
                <w:left w:val="none" w:sz="0" w:space="0" w:color="auto"/>
                <w:bottom w:val="none" w:sz="0" w:space="0" w:color="auto"/>
                <w:right w:val="none" w:sz="0" w:space="0" w:color="auto"/>
              </w:divBdr>
              <w:divsChild>
                <w:div w:id="1304502498">
                  <w:marLeft w:val="0"/>
                  <w:marRight w:val="0"/>
                  <w:marTop w:val="0"/>
                  <w:marBottom w:val="0"/>
                  <w:divBdr>
                    <w:top w:val="none" w:sz="0" w:space="0" w:color="auto"/>
                    <w:left w:val="none" w:sz="0" w:space="0" w:color="auto"/>
                    <w:bottom w:val="none" w:sz="0" w:space="0" w:color="auto"/>
                    <w:right w:val="none" w:sz="0" w:space="0" w:color="auto"/>
                  </w:divBdr>
                </w:div>
                <w:div w:id="1167134739">
                  <w:marLeft w:val="0"/>
                  <w:marRight w:val="0"/>
                  <w:marTop w:val="0"/>
                  <w:marBottom w:val="0"/>
                  <w:divBdr>
                    <w:top w:val="none" w:sz="0" w:space="0" w:color="auto"/>
                    <w:left w:val="none" w:sz="0" w:space="0" w:color="auto"/>
                    <w:bottom w:val="none" w:sz="0" w:space="0" w:color="auto"/>
                    <w:right w:val="none" w:sz="0" w:space="0" w:color="auto"/>
                  </w:divBdr>
                  <w:divsChild>
                    <w:div w:id="1512603078">
                      <w:marLeft w:val="0"/>
                      <w:marRight w:val="0"/>
                      <w:marTop w:val="0"/>
                      <w:marBottom w:val="0"/>
                      <w:divBdr>
                        <w:top w:val="none" w:sz="0" w:space="0" w:color="auto"/>
                        <w:left w:val="none" w:sz="0" w:space="0" w:color="auto"/>
                        <w:bottom w:val="none" w:sz="0" w:space="0" w:color="auto"/>
                        <w:right w:val="none" w:sz="0" w:space="0" w:color="auto"/>
                      </w:divBdr>
                      <w:divsChild>
                        <w:div w:id="7057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87634">
              <w:marLeft w:val="0"/>
              <w:marRight w:val="0"/>
              <w:marTop w:val="0"/>
              <w:marBottom w:val="0"/>
              <w:divBdr>
                <w:top w:val="none" w:sz="0" w:space="0" w:color="auto"/>
                <w:left w:val="none" w:sz="0" w:space="0" w:color="auto"/>
                <w:bottom w:val="none" w:sz="0" w:space="0" w:color="auto"/>
                <w:right w:val="none" w:sz="0" w:space="0" w:color="auto"/>
              </w:divBdr>
              <w:divsChild>
                <w:div w:id="127209417">
                  <w:marLeft w:val="0"/>
                  <w:marRight w:val="0"/>
                  <w:marTop w:val="0"/>
                  <w:marBottom w:val="0"/>
                  <w:divBdr>
                    <w:top w:val="none" w:sz="0" w:space="0" w:color="auto"/>
                    <w:left w:val="none" w:sz="0" w:space="0" w:color="auto"/>
                    <w:bottom w:val="none" w:sz="0" w:space="0" w:color="auto"/>
                    <w:right w:val="none" w:sz="0" w:space="0" w:color="auto"/>
                  </w:divBdr>
                  <w:divsChild>
                    <w:div w:id="5412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0908">
              <w:marLeft w:val="0"/>
              <w:marRight w:val="0"/>
              <w:marTop w:val="0"/>
              <w:marBottom w:val="0"/>
              <w:divBdr>
                <w:top w:val="none" w:sz="0" w:space="0" w:color="auto"/>
                <w:left w:val="none" w:sz="0" w:space="0" w:color="auto"/>
                <w:bottom w:val="none" w:sz="0" w:space="0" w:color="auto"/>
                <w:right w:val="none" w:sz="0" w:space="0" w:color="auto"/>
              </w:divBdr>
            </w:div>
          </w:divsChild>
        </w:div>
        <w:div w:id="1541936154">
          <w:marLeft w:val="0"/>
          <w:marRight w:val="0"/>
          <w:marTop w:val="0"/>
          <w:marBottom w:val="0"/>
          <w:divBdr>
            <w:top w:val="none" w:sz="0" w:space="0" w:color="auto"/>
            <w:left w:val="none" w:sz="0" w:space="0" w:color="auto"/>
            <w:bottom w:val="none" w:sz="0" w:space="0" w:color="auto"/>
            <w:right w:val="none" w:sz="0" w:space="0" w:color="auto"/>
          </w:divBdr>
          <w:divsChild>
            <w:div w:id="16032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6695724/" TargetMode="External"/><Relationship Id="rId13" Type="http://schemas.openxmlformats.org/officeDocument/2006/relationships/hyperlink" Target="https://pubmed.ncbi.nlm.nih.gov/?term=Siddhu+A&amp;cauthor_id=26695724" TargetMode="External"/><Relationship Id="rId3" Type="http://schemas.openxmlformats.org/officeDocument/2006/relationships/settings" Target="settings.xml"/><Relationship Id="rId7" Type="http://schemas.openxmlformats.org/officeDocument/2006/relationships/hyperlink" Target="https://pubmed.ncbi.nlm.nih.gov/?term=Toteja+GS&amp;cauthor_id=26695724" TargetMode="External"/><Relationship Id="rId12" Type="http://schemas.openxmlformats.org/officeDocument/2006/relationships/hyperlink" Target="https://pubmed.ncbi.nlm.nih.gov/266957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med.ncbi.nlm.nih.gov/26695724/" TargetMode="External"/><Relationship Id="rId11" Type="http://schemas.openxmlformats.org/officeDocument/2006/relationships/hyperlink" Target="https://pubmed.ncbi.nlm.nih.gov/?term=Vikram+NK&amp;cauthor_id=26695724" TargetMode="External"/><Relationship Id="rId5" Type="http://schemas.openxmlformats.org/officeDocument/2006/relationships/hyperlink" Target="https://pubmed.ncbi.nlm.nih.gov/?term=Bansal+PG&amp;cauthor_id=26695724" TargetMode="External"/><Relationship Id="rId15" Type="http://schemas.openxmlformats.org/officeDocument/2006/relationships/hyperlink" Target="https://doi.org/10.1038/ejcn.2015.215" TargetMode="External"/><Relationship Id="rId10" Type="http://schemas.openxmlformats.org/officeDocument/2006/relationships/hyperlink" Target="https://pubmed.ncbi.nlm.nih.gov/26695724/" TargetMode="External"/><Relationship Id="rId4" Type="http://schemas.openxmlformats.org/officeDocument/2006/relationships/webSettings" Target="webSettings.xml"/><Relationship Id="rId9" Type="http://schemas.openxmlformats.org/officeDocument/2006/relationships/hyperlink" Target="https://pubmed.ncbi.nlm.nih.gov/?term=Bhatia+N&amp;cauthor_id=26695724" TargetMode="External"/><Relationship Id="rId14" Type="http://schemas.openxmlformats.org/officeDocument/2006/relationships/hyperlink" Target="https://pubmed.ncbi.nlm.nih.gov/266957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2024-03-02T13:37:00Z</dcterms:created>
  <dcterms:modified xsi:type="dcterms:W3CDTF">2024-03-02T13:38:00Z</dcterms:modified>
</cp:coreProperties>
</file>