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597C" w14:textId="77777777" w:rsidR="00847041" w:rsidRDefault="00847041" w:rsidP="00847041">
      <w:pPr>
        <w:shd w:val="clear" w:color="auto" w:fill="DCE4EF"/>
        <w:rPr>
          <w:color w:val="205493"/>
        </w:rPr>
      </w:pPr>
      <w:r>
        <w:rPr>
          <w:color w:val="205493"/>
        </w:rPr>
        <w:t>Observational Study</w:t>
      </w:r>
    </w:p>
    <w:p w14:paraId="3C20DC8A" w14:textId="77777777" w:rsidR="00847041" w:rsidRDefault="00847041" w:rsidP="00847041">
      <w:r>
        <w:t> </w:t>
      </w:r>
    </w:p>
    <w:p w14:paraId="53B96296" w14:textId="77777777" w:rsidR="00847041" w:rsidRDefault="00847041" w:rsidP="00847041">
      <w:pPr>
        <w:rPr>
          <w:color w:val="5B616B"/>
        </w:rPr>
      </w:pPr>
      <w:r>
        <w:rPr>
          <w:color w:val="5B616B"/>
        </w:rPr>
        <w:t xml:space="preserve">Indian J </w:t>
      </w:r>
      <w:proofErr w:type="spellStart"/>
      <w:r>
        <w:rPr>
          <w:color w:val="5B616B"/>
        </w:rPr>
        <w:t>Pediatr</w:t>
      </w:r>
      <w:proofErr w:type="spellEnd"/>
    </w:p>
    <w:p w14:paraId="0A080723" w14:textId="77777777" w:rsidR="00847041" w:rsidRDefault="00847041" w:rsidP="00847041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710679BE" w14:textId="77777777" w:rsidR="00847041" w:rsidRDefault="00847041" w:rsidP="00847041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2079586D" w14:textId="77777777" w:rsidR="00847041" w:rsidRDefault="00847041" w:rsidP="00847041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6A41FE60" w14:textId="77777777" w:rsidR="00847041" w:rsidRDefault="00847041" w:rsidP="00847041">
      <w:pPr>
        <w:rPr>
          <w:color w:val="5B616B"/>
        </w:rPr>
      </w:pPr>
      <w:r>
        <w:rPr>
          <w:rStyle w:val="period"/>
          <w:color w:val="0071BC"/>
        </w:rPr>
        <w:t>. </w:t>
      </w:r>
      <w:r>
        <w:rPr>
          <w:rStyle w:val="cit"/>
          <w:color w:val="5B616B"/>
        </w:rPr>
        <w:t>2015 Dec;82(12):1091-6.</w:t>
      </w:r>
    </w:p>
    <w:p w14:paraId="00C88C3C" w14:textId="77777777" w:rsidR="00847041" w:rsidRDefault="00847041" w:rsidP="00847041">
      <w:r>
        <w:t> </w:t>
      </w:r>
      <w:proofErr w:type="spellStart"/>
      <w:r>
        <w:rPr>
          <w:rStyle w:val="citation-doi"/>
          <w:color w:val="5B616B"/>
        </w:rPr>
        <w:t>doi</w:t>
      </w:r>
      <w:proofErr w:type="spellEnd"/>
      <w:r>
        <w:rPr>
          <w:rStyle w:val="citation-doi"/>
          <w:color w:val="5B616B"/>
        </w:rPr>
        <w:t>: 10.1007/s12098-015-1775-6.</w:t>
      </w:r>
      <w:r>
        <w:t> </w:t>
      </w:r>
      <w:proofErr w:type="spellStart"/>
      <w:r>
        <w:rPr>
          <w:rStyle w:val="secondary-date"/>
          <w:color w:val="5B616B"/>
        </w:rPr>
        <w:t>Epub</w:t>
      </w:r>
      <w:proofErr w:type="spellEnd"/>
      <w:r>
        <w:rPr>
          <w:rStyle w:val="secondary-date"/>
          <w:color w:val="5B616B"/>
        </w:rPr>
        <w:t xml:space="preserve"> 2015 May 19.</w:t>
      </w:r>
    </w:p>
    <w:p w14:paraId="28B887BB" w14:textId="77777777" w:rsidR="00847041" w:rsidRDefault="00847041" w:rsidP="00847041">
      <w:pPr>
        <w:pStyle w:val="Heading1"/>
        <w:rPr>
          <w:rFonts w:ascii="Merriweather" w:hAnsi="Merriweather"/>
        </w:rPr>
      </w:pPr>
      <w:r>
        <w:rPr>
          <w:rFonts w:ascii="Merriweather" w:hAnsi="Merriweather"/>
        </w:rPr>
        <w:t>Effect of Severe Maternal Iron Deficiency Anemia on Neonatal Platelet Indices</w:t>
      </w:r>
    </w:p>
    <w:p w14:paraId="4A3BD1AC" w14:textId="77777777" w:rsidR="00847041" w:rsidRDefault="00847041" w:rsidP="00847041">
      <w:pPr>
        <w:rPr>
          <w:color w:val="5B616B"/>
        </w:rPr>
      </w:pPr>
      <w:hyperlink r:id="rId5" w:history="1">
        <w:r>
          <w:rPr>
            <w:rStyle w:val="Hyperlink"/>
            <w:color w:val="0071BC"/>
          </w:rPr>
          <w:t>Sriparna Basu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6" w:anchor="full-view-affiliation-1" w:tooltip="The Neonatal Unit, Department of Pediatrics, Institure of Medical Sciences, Banaras Hindu University, Varanasi, 221005, India. drsriparnabasu@rediffmail.com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7" w:history="1">
        <w:r>
          <w:rPr>
            <w:rStyle w:val="Hyperlink"/>
            <w:color w:val="0071BC"/>
          </w:rPr>
          <w:t>Naveen Kumar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8" w:anchor="full-view-affiliation-2" w:tooltip="The Neonatal Unit, Department of Pediatrics, Institure of Medical Sciences, Banaras Hindu University, Varanasi, 221005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2</w:t>
        </w:r>
      </w:hyperlink>
      <w:r>
        <w:rPr>
          <w:rStyle w:val="comma"/>
          <w:color w:val="5B616B"/>
        </w:rPr>
        <w:t>, </w:t>
      </w:r>
      <w:hyperlink r:id="rId9" w:history="1">
        <w:r>
          <w:rPr>
            <w:rStyle w:val="Hyperlink"/>
            <w:color w:val="0071BC"/>
          </w:rPr>
          <w:t>Ragini Srivastava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0" w:anchor="full-view-affiliation-3" w:tooltip="Department of Biochemistry, Institure of Medical Sciences, Banaras Hindu University, Varanas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3</w:t>
        </w:r>
      </w:hyperlink>
      <w:r>
        <w:rPr>
          <w:rStyle w:val="comma"/>
          <w:color w:val="5B616B"/>
        </w:rPr>
        <w:t>, </w:t>
      </w:r>
      <w:hyperlink r:id="rId11" w:history="1">
        <w:r>
          <w:rPr>
            <w:rStyle w:val="Hyperlink"/>
            <w:color w:val="0071BC"/>
          </w:rPr>
          <w:t>Ashok Kumar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2" w:anchor="full-view-affiliation-2" w:tooltip="The Neonatal Unit, Department of Pediatrics, Institure of Medical Sciences, Banaras Hindu University, Varanasi, 221005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2</w:t>
        </w:r>
      </w:hyperlink>
    </w:p>
    <w:p w14:paraId="73E7966D" w14:textId="77777777" w:rsidR="00847041" w:rsidRDefault="00847041" w:rsidP="00847041">
      <w:r>
        <w:t>Affiliations </w:t>
      </w:r>
      <w:r>
        <w:rPr>
          <w:rStyle w:val="title"/>
        </w:rPr>
        <w:t>expand</w:t>
      </w:r>
    </w:p>
    <w:p w14:paraId="1682BB27" w14:textId="77777777" w:rsidR="00847041" w:rsidRDefault="00847041" w:rsidP="0084704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id-label"/>
        </w:rPr>
        <w:t>PMID: </w:t>
      </w:r>
      <w:r>
        <w:rPr>
          <w:rStyle w:val="Strong"/>
          <w:b w:val="0"/>
          <w:bCs w:val="0"/>
          <w:color w:val="212121"/>
        </w:rPr>
        <w:t>25980502</w:t>
      </w:r>
    </w:p>
    <w:p w14:paraId="30527BD8" w14:textId="77777777" w:rsidR="00847041" w:rsidRDefault="00847041" w:rsidP="00847041">
      <w:pPr>
        <w:ind w:left="720"/>
      </w:pPr>
      <w:r>
        <w:t> </w:t>
      </w:r>
    </w:p>
    <w:p w14:paraId="6765DB8B" w14:textId="77777777" w:rsidR="00847041" w:rsidRDefault="00847041" w:rsidP="0084704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id-label"/>
        </w:rPr>
        <w:t>DOI: </w:t>
      </w:r>
      <w:hyperlink r:id="rId13" w:tgtFrame="_blank" w:history="1">
        <w:r>
          <w:rPr>
            <w:rStyle w:val="Hyperlink"/>
            <w:color w:val="0071BC"/>
          </w:rPr>
          <w:t>10.1007/s12098-015-1775-6</w:t>
        </w:r>
      </w:hyperlink>
    </w:p>
    <w:p w14:paraId="49A447AD" w14:textId="77777777" w:rsidR="00847041" w:rsidRDefault="00847041" w:rsidP="00847041">
      <w:pPr>
        <w:pStyle w:val="Heading2"/>
        <w:shd w:val="clear" w:color="auto" w:fill="FFFFFF"/>
        <w:rPr>
          <w:rFonts w:ascii="Merriweather" w:hAnsi="Merriweather" w:cs="Segoe UI"/>
          <w:color w:val="212121"/>
        </w:rPr>
      </w:pPr>
      <w:r>
        <w:rPr>
          <w:rFonts w:ascii="Merriweather" w:hAnsi="Merriweather" w:cs="Segoe UI"/>
          <w:color w:val="212121"/>
        </w:rPr>
        <w:t>Abstract</w:t>
      </w:r>
    </w:p>
    <w:p w14:paraId="3E5E8C11" w14:textId="77777777" w:rsidR="00847041" w:rsidRDefault="00847041" w:rsidP="00847041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Objective: </w:t>
      </w:r>
      <w:r>
        <w:rPr>
          <w:rFonts w:ascii="Segoe UI" w:hAnsi="Segoe UI" w:cs="Segoe UI"/>
          <w:color w:val="212121"/>
          <w:sz w:val="24"/>
          <w:szCs w:val="24"/>
        </w:rPr>
        <w:t>To evaluate the effect of maternal iron deficiency anemia (IDA) on fetal thrombopoiesis.</w:t>
      </w:r>
    </w:p>
    <w:p w14:paraId="4C30484F" w14:textId="77777777" w:rsidR="00847041" w:rsidRDefault="00847041" w:rsidP="00847041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Methods: </w:t>
      </w:r>
      <w:r>
        <w:rPr>
          <w:rFonts w:ascii="Segoe UI" w:hAnsi="Segoe UI" w:cs="Segoe UI"/>
          <w:color w:val="212121"/>
          <w:sz w:val="24"/>
          <w:szCs w:val="24"/>
        </w:rPr>
        <w:t xml:space="preserve">In this prospective observational study, maternal and cord blood iron status parameters (serum iron, serum ferritin, total iron-binding capacity, and transferrin saturation), and platelet indices, such as, absolute platelet count (APC), mean platelet volume (MPV), platelet distribution width (PDW) and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plateletcrit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>, were estimated in a convenient sample of 142 mothers with IDA (hemoglobin &lt;11 g/dl and serum ferritin &lt;12 ng/ml) and an equal number of healthy non-anemic (hemoglobin ≥11 g/dl) mothers, who delivered singleton live neonates at term gestation. Mothers with antenatal thrombocytopenia, infections, inflammatory conditions, pregnancy-induced hypertension and neonates with perinatal asphyxia, sepsis and congenital malformations were excluded.</w:t>
      </w:r>
    </w:p>
    <w:p w14:paraId="7352DA42" w14:textId="77777777" w:rsidR="00847041" w:rsidRDefault="00847041" w:rsidP="00847041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Results: </w:t>
      </w:r>
      <w:r>
        <w:rPr>
          <w:rFonts w:ascii="Segoe UI" w:hAnsi="Segoe UI" w:cs="Segoe UI"/>
          <w:color w:val="212121"/>
          <w:sz w:val="24"/>
          <w:szCs w:val="24"/>
        </w:rPr>
        <w:t xml:space="preserve">For statistical analysis, the IDA group was further subdivided into mild-to-moderate (hemoglobin 7-10.9 g/dl) and severe (hemoglobin &lt;7 g/dl) anemia. Cord blood APC and PDW were comparable between non-anemic and mild-to-moderate </w:t>
      </w:r>
      <w:r>
        <w:rPr>
          <w:rFonts w:ascii="Segoe UI" w:hAnsi="Segoe UI" w:cs="Segoe UI"/>
          <w:color w:val="212121"/>
          <w:sz w:val="24"/>
          <w:szCs w:val="24"/>
        </w:rPr>
        <w:lastRenderedPageBreak/>
        <w:t>anemic mothers (242,550 ± 54,320/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μL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 vs. 235,260 ± 34,620/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μL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 for APC and 16.2 ± 1.4 vs. 16.4 ± 1.8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fl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 for PDW, respectively), but in severe IDA group, cord blood APC and PDW were significantly lower (74,520 ± 12,380/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μL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 and 17.8 ± 2.1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fl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, respectively, p &lt; 0.001). MPV and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plateletcrit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 were comparable. None of the study neonates had a platelet count &lt;30,000/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μL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 xml:space="preserve"> or showed any evidence of clinical bleeding.</w:t>
      </w:r>
    </w:p>
    <w:p w14:paraId="4C8C14D4" w14:textId="77777777" w:rsidR="00847041" w:rsidRDefault="00847041" w:rsidP="00847041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Conclusions: </w:t>
      </w:r>
      <w:r>
        <w:rPr>
          <w:rFonts w:ascii="Segoe UI" w:hAnsi="Segoe UI" w:cs="Segoe UI"/>
          <w:color w:val="212121"/>
          <w:sz w:val="24"/>
          <w:szCs w:val="24"/>
        </w:rPr>
        <w:t xml:space="preserve">Neonates born to mothers with severe IDA had moderate thrombocytopenia with increased PDW, though no change was observed in MPV and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plateletcrit</w:t>
      </w:r>
      <w:proofErr w:type="spellEnd"/>
      <w:r>
        <w:rPr>
          <w:rFonts w:ascii="Segoe UI" w:hAnsi="Segoe UI" w:cs="Segoe UI"/>
          <w:color w:val="212121"/>
          <w:sz w:val="24"/>
          <w:szCs w:val="24"/>
        </w:rPr>
        <w:t>. Further studies should be carried out to identify the cause and consequences of this observation.</w:t>
      </w:r>
    </w:p>
    <w:p w14:paraId="3507F6C9" w14:textId="77777777" w:rsidR="00847041" w:rsidRDefault="00847041" w:rsidP="00847041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Keywords: </w:t>
      </w:r>
      <w:r>
        <w:rPr>
          <w:rFonts w:ascii="Segoe UI" w:hAnsi="Segoe UI" w:cs="Segoe UI"/>
          <w:color w:val="212121"/>
          <w:sz w:val="24"/>
          <w:szCs w:val="24"/>
        </w:rPr>
        <w:t>Absolute platelet count; Iron deficiency anemia; Maternal; Mean platelet volume; Neonatal; Platelet distribution width.</w:t>
      </w:r>
    </w:p>
    <w:p w14:paraId="4BF04896" w14:textId="77777777" w:rsidR="00847041" w:rsidRDefault="00847041"/>
    <w:sectPr w:rsidR="0084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295"/>
    <w:multiLevelType w:val="multilevel"/>
    <w:tmpl w:val="93C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B5727"/>
    <w:multiLevelType w:val="multilevel"/>
    <w:tmpl w:val="9074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727010">
    <w:abstractNumId w:val="1"/>
  </w:num>
  <w:num w:numId="2" w16cid:durableId="3173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41"/>
    <w:rsid w:val="0084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11CE"/>
  <w15:chartTrackingRefBased/>
  <w15:docId w15:val="{EB12473F-3798-4B40-AFED-70A2A15E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41"/>
    <w:pPr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4704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70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41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7041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47041"/>
    <w:rPr>
      <w:color w:val="0000FF"/>
      <w:u w:val="single"/>
    </w:rPr>
  </w:style>
  <w:style w:type="character" w:customStyle="1" w:styleId="period">
    <w:name w:val="period"/>
    <w:basedOn w:val="DefaultParagraphFont"/>
    <w:rsid w:val="00847041"/>
  </w:style>
  <w:style w:type="character" w:customStyle="1" w:styleId="cit">
    <w:name w:val="cit"/>
    <w:basedOn w:val="DefaultParagraphFont"/>
    <w:rsid w:val="00847041"/>
  </w:style>
  <w:style w:type="character" w:customStyle="1" w:styleId="citation-doi">
    <w:name w:val="citation-doi"/>
    <w:basedOn w:val="DefaultParagraphFont"/>
    <w:rsid w:val="00847041"/>
  </w:style>
  <w:style w:type="character" w:customStyle="1" w:styleId="secondary-date">
    <w:name w:val="secondary-date"/>
    <w:basedOn w:val="DefaultParagraphFont"/>
    <w:rsid w:val="00847041"/>
  </w:style>
  <w:style w:type="character" w:customStyle="1" w:styleId="authors-list-item">
    <w:name w:val="authors-list-item"/>
    <w:basedOn w:val="DefaultParagraphFont"/>
    <w:rsid w:val="00847041"/>
  </w:style>
  <w:style w:type="character" w:customStyle="1" w:styleId="author-sup-separator">
    <w:name w:val="author-sup-separator"/>
    <w:basedOn w:val="DefaultParagraphFont"/>
    <w:rsid w:val="00847041"/>
  </w:style>
  <w:style w:type="character" w:customStyle="1" w:styleId="comma">
    <w:name w:val="comma"/>
    <w:basedOn w:val="DefaultParagraphFont"/>
    <w:rsid w:val="00847041"/>
  </w:style>
  <w:style w:type="character" w:customStyle="1" w:styleId="title">
    <w:name w:val="title"/>
    <w:basedOn w:val="DefaultParagraphFont"/>
    <w:rsid w:val="00847041"/>
  </w:style>
  <w:style w:type="character" w:customStyle="1" w:styleId="identifier">
    <w:name w:val="identifier"/>
    <w:basedOn w:val="DefaultParagraphFont"/>
    <w:rsid w:val="00847041"/>
  </w:style>
  <w:style w:type="character" w:customStyle="1" w:styleId="id-label">
    <w:name w:val="id-label"/>
    <w:basedOn w:val="DefaultParagraphFont"/>
    <w:rsid w:val="00847041"/>
  </w:style>
  <w:style w:type="character" w:styleId="Strong">
    <w:name w:val="Strong"/>
    <w:basedOn w:val="DefaultParagraphFont"/>
    <w:uiPriority w:val="22"/>
    <w:qFormat/>
    <w:rsid w:val="008470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0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5980502/" TargetMode="External"/><Relationship Id="rId13" Type="http://schemas.openxmlformats.org/officeDocument/2006/relationships/hyperlink" Target="https://doi.org/10.1007/s12098-015-1775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Kumar+N&amp;cauthor_id=25980502" TargetMode="External"/><Relationship Id="rId12" Type="http://schemas.openxmlformats.org/officeDocument/2006/relationships/hyperlink" Target="https://pubmed.ncbi.nlm.nih.gov/259805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5980502/" TargetMode="External"/><Relationship Id="rId11" Type="http://schemas.openxmlformats.org/officeDocument/2006/relationships/hyperlink" Target="https://pubmed.ncbi.nlm.nih.gov/?term=Kumar+A&amp;cauthor_id=25980502" TargetMode="External"/><Relationship Id="rId5" Type="http://schemas.openxmlformats.org/officeDocument/2006/relationships/hyperlink" Target="https://pubmed.ncbi.nlm.nih.gov/?term=Basu+S&amp;cauthor_id=259805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med.ncbi.nlm.nih.gov/259805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Srivastava+R&amp;cauthor_id=25980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2024-02-19T14:27:00Z</dcterms:created>
  <dcterms:modified xsi:type="dcterms:W3CDTF">2024-02-19T14:28:00Z</dcterms:modified>
</cp:coreProperties>
</file>