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854BF" w14:textId="77777777" w:rsidR="0043671E" w:rsidRDefault="0043671E" w:rsidP="0043671E">
      <w:pPr>
        <w:shd w:val="clear" w:color="auto" w:fill="DCE4EF"/>
        <w:rPr>
          <w:color w:val="205493"/>
        </w:rPr>
      </w:pPr>
      <w:r>
        <w:rPr>
          <w:color w:val="205493"/>
        </w:rPr>
        <w:t>Randomized Controlled Trial</w:t>
      </w:r>
    </w:p>
    <w:p w14:paraId="56D803F8" w14:textId="77777777" w:rsidR="0043671E" w:rsidRDefault="0043671E" w:rsidP="0043671E">
      <w:r>
        <w:t> </w:t>
      </w:r>
    </w:p>
    <w:p w14:paraId="381D201B" w14:textId="77777777" w:rsidR="0043671E" w:rsidRDefault="0043671E" w:rsidP="0043671E">
      <w:pPr>
        <w:rPr>
          <w:color w:val="5B616B"/>
        </w:rPr>
      </w:pPr>
      <w:r>
        <w:rPr>
          <w:color w:val="5B616B"/>
        </w:rPr>
        <w:t xml:space="preserve">Am J Clin </w:t>
      </w:r>
      <w:proofErr w:type="spellStart"/>
      <w:r>
        <w:rPr>
          <w:color w:val="5B616B"/>
        </w:rPr>
        <w:t>Nutr</w:t>
      </w:r>
      <w:proofErr w:type="spellEnd"/>
    </w:p>
    <w:p w14:paraId="50656B92" w14:textId="77777777" w:rsidR="0043671E" w:rsidRDefault="0043671E" w:rsidP="0043671E">
      <w:pPr>
        <w:numPr>
          <w:ilvl w:val="0"/>
          <w:numId w:val="1"/>
        </w:numPr>
        <w:shd w:val="clear" w:color="auto" w:fill="FFFFFF"/>
        <w:rPr>
          <w:color w:val="5B616B"/>
        </w:rPr>
      </w:pPr>
    </w:p>
    <w:p w14:paraId="5DDCAFFB" w14:textId="77777777" w:rsidR="0043671E" w:rsidRDefault="0043671E" w:rsidP="0043671E">
      <w:pPr>
        <w:numPr>
          <w:ilvl w:val="0"/>
          <w:numId w:val="1"/>
        </w:numPr>
        <w:shd w:val="clear" w:color="auto" w:fill="FFFFFF"/>
        <w:rPr>
          <w:color w:val="5B616B"/>
        </w:rPr>
      </w:pPr>
    </w:p>
    <w:p w14:paraId="76581842" w14:textId="77777777" w:rsidR="0043671E" w:rsidRDefault="0043671E" w:rsidP="0043671E">
      <w:pPr>
        <w:numPr>
          <w:ilvl w:val="0"/>
          <w:numId w:val="1"/>
        </w:numPr>
        <w:shd w:val="clear" w:color="auto" w:fill="FFFFFF"/>
        <w:rPr>
          <w:color w:val="5B616B"/>
        </w:rPr>
      </w:pPr>
    </w:p>
    <w:p w14:paraId="2CA78148" w14:textId="77777777" w:rsidR="0043671E" w:rsidRDefault="0043671E" w:rsidP="0043671E">
      <w:pPr>
        <w:rPr>
          <w:color w:val="5B616B"/>
        </w:rPr>
      </w:pPr>
      <w:r>
        <w:rPr>
          <w:rStyle w:val="period"/>
          <w:color w:val="0071BC"/>
        </w:rPr>
        <w:t>. </w:t>
      </w:r>
      <w:r>
        <w:rPr>
          <w:rStyle w:val="cit"/>
          <w:color w:val="5B616B"/>
        </w:rPr>
        <w:t>2017 Mar;105(3):746-757.</w:t>
      </w:r>
    </w:p>
    <w:p w14:paraId="311770D0" w14:textId="77777777" w:rsidR="0043671E" w:rsidRDefault="0043671E" w:rsidP="0043671E">
      <w:r>
        <w:t> </w:t>
      </w:r>
      <w:proofErr w:type="spellStart"/>
      <w:r>
        <w:rPr>
          <w:rStyle w:val="citation-doi"/>
          <w:color w:val="5B616B"/>
        </w:rPr>
        <w:t>doi</w:t>
      </w:r>
      <w:proofErr w:type="spellEnd"/>
      <w:r>
        <w:rPr>
          <w:rStyle w:val="citation-doi"/>
          <w:color w:val="5B616B"/>
        </w:rPr>
        <w:t>: 10.3945/ajcn.115.127555.</w:t>
      </w:r>
      <w:r>
        <w:t> </w:t>
      </w:r>
      <w:proofErr w:type="spellStart"/>
      <w:r>
        <w:rPr>
          <w:rStyle w:val="secondary-date"/>
          <w:color w:val="5B616B"/>
        </w:rPr>
        <w:t>Epub</w:t>
      </w:r>
      <w:proofErr w:type="spellEnd"/>
      <w:r>
        <w:rPr>
          <w:rStyle w:val="secondary-date"/>
          <w:color w:val="5B616B"/>
        </w:rPr>
        <w:t xml:space="preserve"> 2017 Jan 18.</w:t>
      </w:r>
    </w:p>
    <w:p w14:paraId="6B4FA43E" w14:textId="77777777" w:rsidR="0043671E" w:rsidRDefault="0043671E" w:rsidP="0043671E">
      <w:pPr>
        <w:pStyle w:val="Heading1"/>
        <w:rPr>
          <w:rFonts w:ascii="Merriweather" w:hAnsi="Merriweather"/>
        </w:rPr>
      </w:pPr>
      <w:r>
        <w:rPr>
          <w:rFonts w:ascii="Merriweather" w:hAnsi="Merriweather"/>
        </w:rPr>
        <w:t>Efficacy of iron-supplement bars to reduce anemia in urban Indian women: a cluster-randomized controlled trial</w:t>
      </w:r>
    </w:p>
    <w:p w14:paraId="695CBFB4" w14:textId="77777777" w:rsidR="0043671E" w:rsidRDefault="0043671E" w:rsidP="0043671E">
      <w:pPr>
        <w:rPr>
          <w:color w:val="5B616B"/>
        </w:rPr>
      </w:pPr>
      <w:hyperlink r:id="rId5" w:history="1">
        <w:r>
          <w:rPr>
            <w:rStyle w:val="Hyperlink"/>
            <w:color w:val="0071BC"/>
          </w:rPr>
          <w:t>Rajvi Mehta</w:t>
        </w:r>
      </w:hyperlink>
      <w:r>
        <w:rPr>
          <w:rStyle w:val="author-sup-separator"/>
          <w:color w:val="5B616B"/>
          <w:sz w:val="18"/>
          <w:szCs w:val="18"/>
          <w:vertAlign w:val="superscript"/>
        </w:rPr>
        <w:t> </w:t>
      </w:r>
      <w:hyperlink r:id="rId6" w:anchor="full-view-affiliation-1" w:tooltip="Duke University School of Medicine." w:history="1">
        <w:r>
          <w:rPr>
            <w:rStyle w:val="Hyperlink"/>
            <w:color w:val="323A45"/>
            <w:sz w:val="18"/>
            <w:szCs w:val="18"/>
            <w:shd w:val="clear" w:color="auto" w:fill="F1F1F1"/>
            <w:vertAlign w:val="superscript"/>
          </w:rPr>
          <w:t>1</w:t>
        </w:r>
      </w:hyperlink>
      <w:r>
        <w:rPr>
          <w:rStyle w:val="comma"/>
          <w:color w:val="5B616B"/>
        </w:rPr>
        <w:t>, </w:t>
      </w:r>
      <w:hyperlink r:id="rId7" w:history="1">
        <w:r>
          <w:rPr>
            <w:rStyle w:val="Hyperlink"/>
            <w:color w:val="0071BC"/>
          </w:rPr>
          <w:t>Alyssa C Platt</w:t>
        </w:r>
      </w:hyperlink>
      <w:r>
        <w:rPr>
          <w:rStyle w:val="author-sup-separator"/>
          <w:color w:val="5B616B"/>
          <w:sz w:val="18"/>
          <w:szCs w:val="18"/>
          <w:vertAlign w:val="superscript"/>
        </w:rPr>
        <w:t> </w:t>
      </w:r>
      <w:hyperlink r:id="rId8" w:anchor="full-view-affiliation-2" w:tooltip="Departments of Biostatistics and Bioinformatics and." w:history="1">
        <w:r>
          <w:rPr>
            <w:rStyle w:val="Hyperlink"/>
            <w:color w:val="323A45"/>
            <w:sz w:val="18"/>
            <w:szCs w:val="18"/>
            <w:shd w:val="clear" w:color="auto" w:fill="F1F1F1"/>
            <w:vertAlign w:val="superscript"/>
          </w:rPr>
          <w:t>2</w:t>
        </w:r>
      </w:hyperlink>
      <w:r>
        <w:rPr>
          <w:rStyle w:val="author-sup-separator"/>
          <w:color w:val="5B616B"/>
          <w:sz w:val="18"/>
          <w:szCs w:val="18"/>
          <w:vertAlign w:val="superscript"/>
        </w:rPr>
        <w:t> </w:t>
      </w:r>
      <w:hyperlink r:id="rId9" w:anchor="full-view-affiliation-3" w:tooltip="Duke Global Health Institute, Duke University, Durham, NC; and." w:history="1">
        <w:r>
          <w:rPr>
            <w:rStyle w:val="Hyperlink"/>
            <w:color w:val="323A45"/>
            <w:sz w:val="18"/>
            <w:szCs w:val="18"/>
            <w:shd w:val="clear" w:color="auto" w:fill="F1F1F1"/>
            <w:vertAlign w:val="superscript"/>
          </w:rPr>
          <w:t>3</w:t>
        </w:r>
      </w:hyperlink>
      <w:r>
        <w:rPr>
          <w:rStyle w:val="comma"/>
          <w:color w:val="5B616B"/>
        </w:rPr>
        <w:t>, </w:t>
      </w:r>
      <w:proofErr w:type="spellStart"/>
      <w:r>
        <w:rPr>
          <w:rStyle w:val="authors-list-item"/>
          <w:color w:val="5B616B"/>
        </w:rPr>
        <w:fldChar w:fldCharType="begin"/>
      </w:r>
      <w:r>
        <w:rPr>
          <w:rStyle w:val="authors-list-item"/>
          <w:color w:val="5B616B"/>
        </w:rPr>
        <w:instrText>HYPERLINK "https://pubmed.ncbi.nlm.nih.gov/?term=Sun+X&amp;cauthor_id=28100507"</w:instrText>
      </w:r>
      <w:r>
        <w:rPr>
          <w:rStyle w:val="authors-list-item"/>
          <w:color w:val="5B616B"/>
        </w:rPr>
      </w:r>
      <w:r>
        <w:rPr>
          <w:rStyle w:val="authors-list-item"/>
          <w:color w:val="5B616B"/>
        </w:rPr>
        <w:fldChar w:fldCharType="separate"/>
      </w:r>
      <w:r>
        <w:rPr>
          <w:rStyle w:val="Hyperlink"/>
          <w:color w:val="0071BC"/>
        </w:rPr>
        <w:t>Xizi</w:t>
      </w:r>
      <w:proofErr w:type="spellEnd"/>
      <w:r>
        <w:rPr>
          <w:rStyle w:val="Hyperlink"/>
          <w:color w:val="0071BC"/>
        </w:rPr>
        <w:t xml:space="preserve"> Sun</w:t>
      </w:r>
      <w:r>
        <w:rPr>
          <w:rStyle w:val="authors-list-item"/>
          <w:color w:val="5B616B"/>
        </w:rPr>
        <w:fldChar w:fldCharType="end"/>
      </w:r>
      <w:r>
        <w:rPr>
          <w:rStyle w:val="author-sup-separator"/>
          <w:color w:val="5B616B"/>
          <w:sz w:val="18"/>
          <w:szCs w:val="18"/>
          <w:vertAlign w:val="superscript"/>
        </w:rPr>
        <w:t> </w:t>
      </w:r>
      <w:hyperlink r:id="rId10" w:anchor="full-view-affiliation-2" w:tooltip="Departments of Biostatistics and Bioinformatics and." w:history="1">
        <w:r>
          <w:rPr>
            <w:rStyle w:val="Hyperlink"/>
            <w:color w:val="323A45"/>
            <w:sz w:val="18"/>
            <w:szCs w:val="18"/>
            <w:shd w:val="clear" w:color="auto" w:fill="F1F1F1"/>
            <w:vertAlign w:val="superscript"/>
          </w:rPr>
          <w:t>2</w:t>
        </w:r>
      </w:hyperlink>
      <w:r>
        <w:rPr>
          <w:rStyle w:val="comma"/>
          <w:color w:val="5B616B"/>
        </w:rPr>
        <w:t>, </w:t>
      </w:r>
      <w:hyperlink r:id="rId11" w:history="1">
        <w:r>
          <w:rPr>
            <w:rStyle w:val="Hyperlink"/>
            <w:color w:val="0071BC"/>
          </w:rPr>
          <w:t>Mukesh Desai</w:t>
        </w:r>
      </w:hyperlink>
      <w:r>
        <w:rPr>
          <w:rStyle w:val="author-sup-separator"/>
          <w:color w:val="5B616B"/>
          <w:sz w:val="18"/>
          <w:szCs w:val="18"/>
          <w:vertAlign w:val="superscript"/>
        </w:rPr>
        <w:t> </w:t>
      </w:r>
      <w:hyperlink r:id="rId12" w:anchor="full-view-affiliation-4" w:tooltip="Department of Hematology and Immunology, B.J. Wadia Hospital, Mumbai, Maharashtra, India." w:history="1">
        <w:r>
          <w:rPr>
            <w:rStyle w:val="Hyperlink"/>
            <w:color w:val="323A45"/>
            <w:sz w:val="18"/>
            <w:szCs w:val="18"/>
            <w:shd w:val="clear" w:color="auto" w:fill="F1F1F1"/>
            <w:vertAlign w:val="superscript"/>
          </w:rPr>
          <w:t>4</w:t>
        </w:r>
      </w:hyperlink>
      <w:r>
        <w:rPr>
          <w:rStyle w:val="comma"/>
          <w:color w:val="5B616B"/>
        </w:rPr>
        <w:t>, </w:t>
      </w:r>
      <w:hyperlink r:id="rId13" w:history="1">
        <w:r>
          <w:rPr>
            <w:rStyle w:val="Hyperlink"/>
            <w:color w:val="0071BC"/>
          </w:rPr>
          <w:t>Dennis Clements</w:t>
        </w:r>
      </w:hyperlink>
      <w:r>
        <w:rPr>
          <w:rStyle w:val="author-sup-separator"/>
          <w:color w:val="5B616B"/>
          <w:sz w:val="18"/>
          <w:szCs w:val="18"/>
          <w:vertAlign w:val="superscript"/>
        </w:rPr>
        <w:t> </w:t>
      </w:r>
      <w:hyperlink r:id="rId14" w:anchor="full-view-affiliation-5" w:tooltip="Pediatrics, and." w:history="1">
        <w:r>
          <w:rPr>
            <w:rStyle w:val="Hyperlink"/>
            <w:color w:val="323A45"/>
            <w:sz w:val="18"/>
            <w:szCs w:val="18"/>
            <w:shd w:val="clear" w:color="auto" w:fill="F1F1F1"/>
            <w:vertAlign w:val="superscript"/>
          </w:rPr>
          <w:t>5</w:t>
        </w:r>
      </w:hyperlink>
      <w:r>
        <w:rPr>
          <w:rStyle w:val="author-sup-separator"/>
          <w:color w:val="5B616B"/>
          <w:sz w:val="18"/>
          <w:szCs w:val="18"/>
          <w:vertAlign w:val="superscript"/>
        </w:rPr>
        <w:t> </w:t>
      </w:r>
      <w:hyperlink r:id="rId15" w:anchor="full-view-affiliation-3" w:tooltip="Duke Global Health Institute, Duke University, Durham, NC; and." w:history="1">
        <w:r>
          <w:rPr>
            <w:rStyle w:val="Hyperlink"/>
            <w:color w:val="323A45"/>
            <w:sz w:val="18"/>
            <w:szCs w:val="18"/>
            <w:shd w:val="clear" w:color="auto" w:fill="F1F1F1"/>
            <w:vertAlign w:val="superscript"/>
          </w:rPr>
          <w:t>3</w:t>
        </w:r>
      </w:hyperlink>
      <w:r>
        <w:rPr>
          <w:rStyle w:val="comma"/>
          <w:color w:val="5B616B"/>
        </w:rPr>
        <w:t>, </w:t>
      </w:r>
      <w:hyperlink r:id="rId16" w:history="1">
        <w:r>
          <w:rPr>
            <w:rStyle w:val="Hyperlink"/>
            <w:color w:val="0071BC"/>
          </w:rPr>
          <w:t>Elizabeth L Turner</w:t>
        </w:r>
      </w:hyperlink>
      <w:r>
        <w:rPr>
          <w:rStyle w:val="author-sup-separator"/>
          <w:color w:val="5B616B"/>
          <w:sz w:val="18"/>
          <w:szCs w:val="18"/>
          <w:vertAlign w:val="superscript"/>
        </w:rPr>
        <w:t> </w:t>
      </w:r>
      <w:hyperlink r:id="rId17" w:anchor="full-view-affiliation-6" w:tooltip="Departments of Biostatistics and Bioinformatics and liz.turner@duke.edu." w:history="1">
        <w:r>
          <w:rPr>
            <w:rStyle w:val="Hyperlink"/>
            <w:color w:val="323A45"/>
            <w:sz w:val="18"/>
            <w:szCs w:val="18"/>
            <w:shd w:val="clear" w:color="auto" w:fill="F1F1F1"/>
            <w:vertAlign w:val="superscript"/>
          </w:rPr>
          <w:t>6</w:t>
        </w:r>
      </w:hyperlink>
      <w:r>
        <w:rPr>
          <w:rStyle w:val="author-sup-separator"/>
          <w:color w:val="5B616B"/>
          <w:sz w:val="18"/>
          <w:szCs w:val="18"/>
          <w:vertAlign w:val="superscript"/>
        </w:rPr>
        <w:t> </w:t>
      </w:r>
      <w:hyperlink r:id="rId18" w:anchor="full-view-affiliation-3" w:tooltip="Duke Global Health Institute, Duke University, Durham, NC; and." w:history="1">
        <w:r>
          <w:rPr>
            <w:rStyle w:val="Hyperlink"/>
            <w:color w:val="323A45"/>
            <w:sz w:val="18"/>
            <w:szCs w:val="18"/>
            <w:shd w:val="clear" w:color="auto" w:fill="F1F1F1"/>
            <w:vertAlign w:val="superscript"/>
          </w:rPr>
          <w:t>3</w:t>
        </w:r>
      </w:hyperlink>
    </w:p>
    <w:p w14:paraId="26334CDC" w14:textId="77777777" w:rsidR="0043671E" w:rsidRDefault="0043671E" w:rsidP="0043671E">
      <w:r>
        <w:t>Affiliations </w:t>
      </w:r>
      <w:r>
        <w:rPr>
          <w:rStyle w:val="title"/>
        </w:rPr>
        <w:t>expand</w:t>
      </w:r>
    </w:p>
    <w:p w14:paraId="1918600D" w14:textId="77777777" w:rsidR="0043671E" w:rsidRDefault="0043671E" w:rsidP="0043671E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id-label"/>
        </w:rPr>
        <w:t>PMID: </w:t>
      </w:r>
      <w:r>
        <w:rPr>
          <w:rStyle w:val="Strong"/>
          <w:b w:val="0"/>
          <w:bCs w:val="0"/>
          <w:color w:val="212121"/>
        </w:rPr>
        <w:t>28100507</w:t>
      </w:r>
    </w:p>
    <w:p w14:paraId="57299B2D" w14:textId="77777777" w:rsidR="0043671E" w:rsidRDefault="0043671E" w:rsidP="0043671E">
      <w:pPr>
        <w:ind w:left="720"/>
      </w:pPr>
      <w:r>
        <w:t> </w:t>
      </w:r>
    </w:p>
    <w:p w14:paraId="7232FFFC" w14:textId="77777777" w:rsidR="0043671E" w:rsidRDefault="0043671E" w:rsidP="0043671E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id-label"/>
        </w:rPr>
        <w:t>DOI: </w:t>
      </w:r>
      <w:hyperlink r:id="rId19" w:tgtFrame="_blank" w:history="1">
        <w:r>
          <w:rPr>
            <w:rStyle w:val="Hyperlink"/>
            <w:color w:val="0071BC"/>
          </w:rPr>
          <w:t>10.3945/ajcn.115.127555</w:t>
        </w:r>
      </w:hyperlink>
    </w:p>
    <w:p w14:paraId="2993634E" w14:textId="77777777" w:rsidR="0043671E" w:rsidRDefault="0043671E" w:rsidP="0043671E">
      <w:r>
        <w:rPr>
          <w:rStyle w:val="free-label"/>
          <w:b/>
          <w:bCs/>
          <w:color w:val="C05600"/>
        </w:rPr>
        <w:t>Free article</w:t>
      </w:r>
    </w:p>
    <w:p w14:paraId="16556B73" w14:textId="77777777" w:rsidR="0043671E" w:rsidRDefault="0043671E" w:rsidP="0043671E">
      <w:pPr>
        <w:pStyle w:val="Heading2"/>
        <w:shd w:val="clear" w:color="auto" w:fill="FFFFFF"/>
        <w:rPr>
          <w:rFonts w:ascii="Merriweather" w:hAnsi="Merriweather" w:cs="Segoe UI"/>
          <w:color w:val="212121"/>
        </w:rPr>
      </w:pPr>
      <w:r>
        <w:rPr>
          <w:rFonts w:ascii="Merriweather" w:hAnsi="Merriweather" w:cs="Segoe UI"/>
          <w:color w:val="212121"/>
        </w:rPr>
        <w:t>Abstract</w:t>
      </w:r>
    </w:p>
    <w:p w14:paraId="6607D286" w14:textId="77777777" w:rsidR="0043671E" w:rsidRDefault="0043671E" w:rsidP="0043671E">
      <w:pPr>
        <w:pStyle w:val="NormalWeb"/>
        <w:shd w:val="clear" w:color="auto" w:fill="FFFFFF"/>
        <w:rPr>
          <w:rFonts w:ascii="Segoe UI" w:hAnsi="Segoe UI" w:cs="Segoe UI"/>
          <w:color w:val="212121"/>
          <w:sz w:val="24"/>
          <w:szCs w:val="24"/>
        </w:rPr>
      </w:pPr>
      <w:r>
        <w:rPr>
          <w:rFonts w:ascii="Segoe UI" w:hAnsi="Segoe UI" w:cs="Segoe UI"/>
          <w:b/>
          <w:bCs/>
          <w:color w:val="212121"/>
          <w:sz w:val="24"/>
          <w:szCs w:val="24"/>
        </w:rPr>
        <w:t>Background:</w:t>
      </w:r>
      <w:r>
        <w:rPr>
          <w:rFonts w:ascii="Segoe UI" w:hAnsi="Segoe UI" w:cs="Segoe UI"/>
          <w:color w:val="212121"/>
          <w:sz w:val="24"/>
          <w:szCs w:val="24"/>
        </w:rPr>
        <w:t xml:space="preserve"> India's high prevalence of iron-deficiency anemia has largely been attributed to the local diet consisting of nonheme iron, which has lower absorption than that of heme </w:t>
      </w:r>
      <w:proofErr w:type="spellStart"/>
      <w:r>
        <w:rPr>
          <w:rFonts w:ascii="Segoe UI" w:hAnsi="Segoe UI" w:cs="Segoe UI"/>
          <w:color w:val="212121"/>
          <w:sz w:val="24"/>
          <w:szCs w:val="24"/>
        </w:rPr>
        <w:t>iron.</w:t>
      </w:r>
      <w:r>
        <w:rPr>
          <w:rFonts w:ascii="Segoe UI" w:hAnsi="Segoe UI" w:cs="Segoe UI"/>
          <w:b/>
          <w:bCs/>
          <w:color w:val="212121"/>
          <w:sz w:val="24"/>
          <w:szCs w:val="24"/>
        </w:rPr>
        <w:t>Objective</w:t>
      </w:r>
      <w:proofErr w:type="spellEnd"/>
      <w:r>
        <w:rPr>
          <w:rFonts w:ascii="Segoe UI" w:hAnsi="Segoe UI" w:cs="Segoe UI"/>
          <w:b/>
          <w:bCs/>
          <w:color w:val="212121"/>
          <w:sz w:val="24"/>
          <w:szCs w:val="24"/>
        </w:rPr>
        <w:t>:</w:t>
      </w:r>
      <w:r>
        <w:rPr>
          <w:rFonts w:ascii="Segoe UI" w:hAnsi="Segoe UI" w:cs="Segoe UI"/>
          <w:color w:val="212121"/>
          <w:sz w:val="24"/>
          <w:szCs w:val="24"/>
        </w:rPr>
        <w:t xml:space="preserve"> We assessed the efficacy of the consumption of iron-supplement bars in raising hemoglobin concentrations and hematocrit percentages in anemic (hemoglobin concentration &lt;12 g/dL) Indian women of reproductive </w:t>
      </w:r>
      <w:proofErr w:type="spellStart"/>
      <w:r>
        <w:rPr>
          <w:rFonts w:ascii="Segoe UI" w:hAnsi="Segoe UI" w:cs="Segoe UI"/>
          <w:color w:val="212121"/>
          <w:sz w:val="24"/>
          <w:szCs w:val="24"/>
        </w:rPr>
        <w:t>age.</w:t>
      </w:r>
      <w:r>
        <w:rPr>
          <w:rFonts w:ascii="Segoe UI" w:hAnsi="Segoe UI" w:cs="Segoe UI"/>
          <w:b/>
          <w:bCs/>
          <w:color w:val="212121"/>
          <w:sz w:val="24"/>
          <w:szCs w:val="24"/>
        </w:rPr>
        <w:t>Design</w:t>
      </w:r>
      <w:proofErr w:type="spellEnd"/>
      <w:r>
        <w:rPr>
          <w:rFonts w:ascii="Segoe UI" w:hAnsi="Segoe UI" w:cs="Segoe UI"/>
          <w:b/>
          <w:bCs/>
          <w:color w:val="212121"/>
          <w:sz w:val="24"/>
          <w:szCs w:val="24"/>
        </w:rPr>
        <w:t>:</w:t>
      </w:r>
      <w:r>
        <w:rPr>
          <w:rFonts w:ascii="Segoe UI" w:hAnsi="Segoe UI" w:cs="Segoe UI"/>
          <w:color w:val="212121"/>
          <w:sz w:val="24"/>
          <w:szCs w:val="24"/>
        </w:rPr>
        <w:t xml:space="preserve"> The Let's be Well Red study was a 90-d, pair-matched, cluster-randomized controlled trial. A total of 361 nonpregnant women (age 18-35 y) were recruited from 10 sites within Mumbai and Navi Mumbai, India. All participants received anemia education and a complete blood count (CBC). Random assignment of anemic participants to intervention and control arms occurred within 5 matched site-pairs. Intervention participants received 1 iron-supplement bar (containing 14 </w:t>
      </w:r>
      <w:r>
        <w:rPr>
          <w:rFonts w:ascii="Segoe UI" w:hAnsi="Segoe UI" w:cs="Segoe UI"/>
          <w:color w:val="212121"/>
          <w:sz w:val="24"/>
          <w:szCs w:val="24"/>
        </w:rPr>
        <w:lastRenderedPageBreak/>
        <w:t xml:space="preserve">mg Fe)/d for 90 d, whereas control subjects received nothing. CBC tests were given at days 15, 45, and 90. Primary outcomes were 90-d changes from baseline in hemoglobin concentrations and hematocrit percentages. Linear mixed models and generalized estimating equations were used to model continuous and binary outcomes, </w:t>
      </w:r>
      <w:proofErr w:type="spellStart"/>
      <w:proofErr w:type="gramStart"/>
      <w:r>
        <w:rPr>
          <w:rFonts w:ascii="Segoe UI" w:hAnsi="Segoe UI" w:cs="Segoe UI"/>
          <w:color w:val="212121"/>
          <w:sz w:val="24"/>
          <w:szCs w:val="24"/>
        </w:rPr>
        <w:t>respectively.</w:t>
      </w:r>
      <w:r>
        <w:rPr>
          <w:rFonts w:ascii="Segoe UI" w:hAnsi="Segoe UI" w:cs="Segoe UI"/>
          <w:b/>
          <w:bCs/>
          <w:color w:val="212121"/>
          <w:sz w:val="24"/>
          <w:szCs w:val="24"/>
        </w:rPr>
        <w:t>Results</w:t>
      </w:r>
      <w:proofErr w:type="spellEnd"/>
      <w:proofErr w:type="gramEnd"/>
      <w:r>
        <w:rPr>
          <w:rFonts w:ascii="Segoe UI" w:hAnsi="Segoe UI" w:cs="Segoe UI"/>
          <w:b/>
          <w:bCs/>
          <w:color w:val="212121"/>
          <w:sz w:val="24"/>
          <w:szCs w:val="24"/>
        </w:rPr>
        <w:t>:</w:t>
      </w:r>
      <w:r>
        <w:rPr>
          <w:rFonts w:ascii="Segoe UI" w:hAnsi="Segoe UI" w:cs="Segoe UI"/>
          <w:color w:val="212121"/>
          <w:sz w:val="24"/>
          <w:szCs w:val="24"/>
        </w:rPr>
        <w:t xml:space="preserve"> Of 179 anemic participants, 136 (76.0%) completed all follow-up assessments (65 intervention and 71 control participants). Baseline characteristics were comparable by arm. Mean hemoglobin and hematocrit </w:t>
      </w:r>
      <w:proofErr w:type="gramStart"/>
      <w:r>
        <w:rPr>
          <w:rFonts w:ascii="Segoe UI" w:hAnsi="Segoe UI" w:cs="Segoe UI"/>
          <w:color w:val="212121"/>
          <w:sz w:val="24"/>
          <w:szCs w:val="24"/>
        </w:rPr>
        <w:t>increases</w:t>
      </w:r>
      <w:proofErr w:type="gramEnd"/>
      <w:r>
        <w:rPr>
          <w:rFonts w:ascii="Segoe UI" w:hAnsi="Segoe UI" w:cs="Segoe UI"/>
          <w:color w:val="212121"/>
          <w:sz w:val="24"/>
          <w:szCs w:val="24"/>
        </w:rPr>
        <w:t xml:space="preserve"> after 90 d were greater for intervention than for control participants [1.4 g/dL (95% CI: 1.3, 1.6 g/dL) and 2.7% (95% CI: 2.2%, 3.2%), respectively]. The anemia prevalence at 90 d was lower for intervention (29.2%) than for control participants (98.6%) (OR: 0.007; 95% CI: 0.001, 0.04</w:t>
      </w:r>
      <w:proofErr w:type="gramStart"/>
      <w:r>
        <w:rPr>
          <w:rFonts w:ascii="Segoe UI" w:hAnsi="Segoe UI" w:cs="Segoe UI"/>
          <w:color w:val="212121"/>
          <w:sz w:val="24"/>
          <w:szCs w:val="24"/>
        </w:rPr>
        <w:t>).</w:t>
      </w:r>
      <w:r>
        <w:rPr>
          <w:rFonts w:ascii="Segoe UI" w:hAnsi="Segoe UI" w:cs="Segoe UI"/>
          <w:b/>
          <w:bCs/>
          <w:color w:val="212121"/>
          <w:sz w:val="24"/>
          <w:szCs w:val="24"/>
        </w:rPr>
        <w:t>Conclusions</w:t>
      </w:r>
      <w:proofErr w:type="gramEnd"/>
      <w:r>
        <w:rPr>
          <w:rFonts w:ascii="Segoe UI" w:hAnsi="Segoe UI" w:cs="Segoe UI"/>
          <w:b/>
          <w:bCs/>
          <w:color w:val="212121"/>
          <w:sz w:val="24"/>
          <w:szCs w:val="24"/>
        </w:rPr>
        <w:t>:</w:t>
      </w:r>
      <w:r>
        <w:rPr>
          <w:rFonts w:ascii="Segoe UI" w:hAnsi="Segoe UI" w:cs="Segoe UI"/>
          <w:color w:val="212121"/>
          <w:sz w:val="24"/>
          <w:szCs w:val="24"/>
        </w:rPr>
        <w:t> The daily consumption of an iron-supplement bar leads to increased hemoglobin concentrations and hematocrit percentages and to a lower anemia prevalence in the target population with no reported side effects. This intervention is an attractive option to combat anemia in India. This trial was registered at clinicaltrials.gov as </w:t>
      </w:r>
      <w:hyperlink r:id="rId20" w:tooltip="See in ClinicalTrials.gov" w:history="1">
        <w:r>
          <w:rPr>
            <w:rStyle w:val="Hyperlink"/>
            <w:rFonts w:ascii="Segoe UI" w:hAnsi="Segoe UI" w:cs="Segoe UI"/>
            <w:color w:val="0071BC"/>
            <w:sz w:val="24"/>
            <w:szCs w:val="24"/>
          </w:rPr>
          <w:t>NCT02032615</w:t>
        </w:r>
      </w:hyperlink>
      <w:r>
        <w:rPr>
          <w:rFonts w:ascii="Segoe UI" w:hAnsi="Segoe UI" w:cs="Segoe UI"/>
          <w:color w:val="212121"/>
          <w:sz w:val="24"/>
          <w:szCs w:val="24"/>
        </w:rPr>
        <w:t>.</w:t>
      </w:r>
    </w:p>
    <w:p w14:paraId="55243DEA" w14:textId="77777777" w:rsidR="0043671E" w:rsidRDefault="0043671E" w:rsidP="0043671E">
      <w:pPr>
        <w:pStyle w:val="NormalWeb"/>
        <w:shd w:val="clear" w:color="auto" w:fill="FFFFFF"/>
        <w:rPr>
          <w:rFonts w:ascii="Segoe UI" w:hAnsi="Segoe UI" w:cs="Segoe UI"/>
          <w:color w:val="212121"/>
          <w:sz w:val="24"/>
          <w:szCs w:val="24"/>
        </w:rPr>
      </w:pPr>
      <w:r>
        <w:rPr>
          <w:rStyle w:val="Strong"/>
          <w:rFonts w:ascii="Segoe UI" w:hAnsi="Segoe UI" w:cs="Segoe UI"/>
          <w:color w:val="212121"/>
          <w:sz w:val="24"/>
          <w:szCs w:val="24"/>
        </w:rPr>
        <w:t>Keywords: </w:t>
      </w:r>
      <w:r>
        <w:rPr>
          <w:rFonts w:ascii="Segoe UI" w:hAnsi="Segoe UI" w:cs="Segoe UI"/>
          <w:color w:val="212121"/>
          <w:sz w:val="24"/>
          <w:szCs w:val="24"/>
        </w:rPr>
        <w:t>Indian diet; Let’s be Well Red; hematocrit; hemoglobin; iron-deficiency anemia; iron-supplement bar; women.</w:t>
      </w:r>
    </w:p>
    <w:p w14:paraId="0BFA9D81" w14:textId="77777777" w:rsidR="0043671E" w:rsidRDefault="0043671E"/>
    <w:sectPr w:rsidR="00436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1BD2"/>
    <w:multiLevelType w:val="multilevel"/>
    <w:tmpl w:val="EB40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C04D2"/>
    <w:multiLevelType w:val="multilevel"/>
    <w:tmpl w:val="1A86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506149">
    <w:abstractNumId w:val="0"/>
  </w:num>
  <w:num w:numId="2" w16cid:durableId="284585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1E"/>
    <w:rsid w:val="0043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4F1A"/>
  <w15:chartTrackingRefBased/>
  <w15:docId w15:val="{34292A22-B878-4ACB-9BD2-915AE138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71E"/>
    <w:pPr>
      <w:spacing w:after="0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3671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671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71E"/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3671E"/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3671E"/>
    <w:rPr>
      <w:color w:val="0000FF"/>
      <w:u w:val="single"/>
    </w:rPr>
  </w:style>
  <w:style w:type="character" w:customStyle="1" w:styleId="period">
    <w:name w:val="period"/>
    <w:basedOn w:val="DefaultParagraphFont"/>
    <w:rsid w:val="0043671E"/>
  </w:style>
  <w:style w:type="character" w:customStyle="1" w:styleId="cit">
    <w:name w:val="cit"/>
    <w:basedOn w:val="DefaultParagraphFont"/>
    <w:rsid w:val="0043671E"/>
  </w:style>
  <w:style w:type="character" w:customStyle="1" w:styleId="citation-doi">
    <w:name w:val="citation-doi"/>
    <w:basedOn w:val="DefaultParagraphFont"/>
    <w:rsid w:val="0043671E"/>
  </w:style>
  <w:style w:type="character" w:customStyle="1" w:styleId="secondary-date">
    <w:name w:val="secondary-date"/>
    <w:basedOn w:val="DefaultParagraphFont"/>
    <w:rsid w:val="0043671E"/>
  </w:style>
  <w:style w:type="character" w:customStyle="1" w:styleId="authors-list-item">
    <w:name w:val="authors-list-item"/>
    <w:basedOn w:val="DefaultParagraphFont"/>
    <w:rsid w:val="0043671E"/>
  </w:style>
  <w:style w:type="character" w:customStyle="1" w:styleId="author-sup-separator">
    <w:name w:val="author-sup-separator"/>
    <w:basedOn w:val="DefaultParagraphFont"/>
    <w:rsid w:val="0043671E"/>
  </w:style>
  <w:style w:type="character" w:customStyle="1" w:styleId="comma">
    <w:name w:val="comma"/>
    <w:basedOn w:val="DefaultParagraphFont"/>
    <w:rsid w:val="0043671E"/>
  </w:style>
  <w:style w:type="character" w:customStyle="1" w:styleId="title">
    <w:name w:val="title"/>
    <w:basedOn w:val="DefaultParagraphFont"/>
    <w:rsid w:val="0043671E"/>
  </w:style>
  <w:style w:type="character" w:customStyle="1" w:styleId="identifier">
    <w:name w:val="identifier"/>
    <w:basedOn w:val="DefaultParagraphFont"/>
    <w:rsid w:val="0043671E"/>
  </w:style>
  <w:style w:type="character" w:customStyle="1" w:styleId="id-label">
    <w:name w:val="id-label"/>
    <w:basedOn w:val="DefaultParagraphFont"/>
    <w:rsid w:val="0043671E"/>
  </w:style>
  <w:style w:type="character" w:styleId="Strong">
    <w:name w:val="Strong"/>
    <w:basedOn w:val="DefaultParagraphFont"/>
    <w:uiPriority w:val="22"/>
    <w:qFormat/>
    <w:rsid w:val="0043671E"/>
    <w:rPr>
      <w:b/>
      <w:bCs/>
    </w:rPr>
  </w:style>
  <w:style w:type="character" w:customStyle="1" w:styleId="free-label">
    <w:name w:val="free-label"/>
    <w:basedOn w:val="DefaultParagraphFont"/>
    <w:rsid w:val="0043671E"/>
  </w:style>
  <w:style w:type="paragraph" w:styleId="NormalWeb">
    <w:name w:val="Normal (Web)"/>
    <w:basedOn w:val="Normal"/>
    <w:uiPriority w:val="99"/>
    <w:semiHidden/>
    <w:unhideWhenUsed/>
    <w:rsid w:val="0043671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6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1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0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3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28100507/" TargetMode="External"/><Relationship Id="rId13" Type="http://schemas.openxmlformats.org/officeDocument/2006/relationships/hyperlink" Target="https://pubmed.ncbi.nlm.nih.gov/?term=Clements+D&amp;cauthor_id=28100507" TargetMode="External"/><Relationship Id="rId18" Type="http://schemas.openxmlformats.org/officeDocument/2006/relationships/hyperlink" Target="https://pubmed.ncbi.nlm.nih.gov/28100507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ubmed.ncbi.nlm.nih.gov/?term=Platt+AC&amp;cauthor_id=28100507" TargetMode="External"/><Relationship Id="rId12" Type="http://schemas.openxmlformats.org/officeDocument/2006/relationships/hyperlink" Target="https://pubmed.ncbi.nlm.nih.gov/28100507/" TargetMode="External"/><Relationship Id="rId17" Type="http://schemas.openxmlformats.org/officeDocument/2006/relationships/hyperlink" Target="https://pubmed.ncbi.nlm.nih.gov/2810050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?term=Turner+EL&amp;cauthor_id=28100507" TargetMode="External"/><Relationship Id="rId20" Type="http://schemas.openxmlformats.org/officeDocument/2006/relationships/hyperlink" Target="http://clinicaltrials.gov/show/NCT020326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28100507/" TargetMode="External"/><Relationship Id="rId11" Type="http://schemas.openxmlformats.org/officeDocument/2006/relationships/hyperlink" Target="https://pubmed.ncbi.nlm.nih.gov/?term=Desai+M&amp;cauthor_id=28100507" TargetMode="External"/><Relationship Id="rId5" Type="http://schemas.openxmlformats.org/officeDocument/2006/relationships/hyperlink" Target="https://pubmed.ncbi.nlm.nih.gov/?term=Mehta+R&amp;cauthor_id=28100507" TargetMode="External"/><Relationship Id="rId15" Type="http://schemas.openxmlformats.org/officeDocument/2006/relationships/hyperlink" Target="https://pubmed.ncbi.nlm.nih.gov/28100507/" TargetMode="External"/><Relationship Id="rId10" Type="http://schemas.openxmlformats.org/officeDocument/2006/relationships/hyperlink" Target="https://pubmed.ncbi.nlm.nih.gov/28100507/" TargetMode="External"/><Relationship Id="rId19" Type="http://schemas.openxmlformats.org/officeDocument/2006/relationships/hyperlink" Target="https://doi.org/10.3945/ajcn.115.1275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28100507/" TargetMode="External"/><Relationship Id="rId14" Type="http://schemas.openxmlformats.org/officeDocument/2006/relationships/hyperlink" Target="https://pubmed.ncbi.nlm.nih.gov/28100507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sareen</dc:creator>
  <cp:keywords/>
  <dc:description/>
  <cp:lastModifiedBy>Neha Sareen</cp:lastModifiedBy>
  <cp:revision>1</cp:revision>
  <dcterms:created xsi:type="dcterms:W3CDTF">2024-02-19T08:39:00Z</dcterms:created>
  <dcterms:modified xsi:type="dcterms:W3CDTF">2024-02-19T08:40:00Z</dcterms:modified>
</cp:coreProperties>
</file>