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956B0" w14:textId="77777777" w:rsidR="00C578D8" w:rsidRPr="00C578D8" w:rsidRDefault="00C578D8" w:rsidP="00C578D8">
      <w:pPr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  <w:r w:rsidRPr="00C578D8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 xml:space="preserve">Clin </w:t>
      </w:r>
      <w:proofErr w:type="spellStart"/>
      <w:r w:rsidRPr="00C578D8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Nutr</w:t>
      </w:r>
      <w:proofErr w:type="spellEnd"/>
      <w:r w:rsidRPr="00C578D8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 xml:space="preserve"> ESPEN</w:t>
      </w:r>
    </w:p>
    <w:p w14:paraId="6DCF912D" w14:textId="77777777" w:rsidR="00C578D8" w:rsidRPr="00C578D8" w:rsidRDefault="00C578D8" w:rsidP="00C578D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</w:p>
    <w:p w14:paraId="4F01531F" w14:textId="77777777" w:rsidR="00C578D8" w:rsidRPr="00C578D8" w:rsidRDefault="00C578D8" w:rsidP="00C578D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</w:p>
    <w:p w14:paraId="00DEBC22" w14:textId="77777777" w:rsidR="00C578D8" w:rsidRPr="00C578D8" w:rsidRDefault="00C578D8" w:rsidP="00C578D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</w:p>
    <w:p w14:paraId="7BE41F18" w14:textId="77777777" w:rsidR="00C578D8" w:rsidRPr="00C578D8" w:rsidRDefault="00C578D8" w:rsidP="00C578D8">
      <w:pPr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  <w:r w:rsidRPr="00C578D8">
        <w:rPr>
          <w:rFonts w:ascii="Mangal" w:eastAsia="Times New Roman" w:hAnsi="Mangal" w:cs="Mangal"/>
          <w:color w:val="0071BC"/>
          <w:kern w:val="0"/>
          <w:sz w:val="20"/>
          <w14:ligatures w14:val="none"/>
        </w:rPr>
        <w:t>. </w:t>
      </w:r>
      <w:r w:rsidRPr="00C578D8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 xml:space="preserve">2022 </w:t>
      </w:r>
      <w:proofErr w:type="gramStart"/>
      <w:r w:rsidRPr="00C578D8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Jun:49:390</w:t>
      </w:r>
      <w:proofErr w:type="gramEnd"/>
      <w:r w:rsidRPr="00C578D8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-397.</w:t>
      </w:r>
    </w:p>
    <w:p w14:paraId="7989C524" w14:textId="77777777" w:rsidR="00C578D8" w:rsidRPr="00C578D8" w:rsidRDefault="00C578D8" w:rsidP="00C578D8">
      <w:pPr>
        <w:spacing w:after="0" w:line="240" w:lineRule="auto"/>
        <w:rPr>
          <w:rFonts w:ascii="Mangal" w:eastAsia="Times New Roman" w:hAnsi="Mangal" w:cs="Mangal"/>
          <w:kern w:val="0"/>
          <w:sz w:val="20"/>
          <w14:ligatures w14:val="none"/>
        </w:rPr>
      </w:pPr>
      <w:r w:rsidRPr="00C578D8">
        <w:rPr>
          <w:rFonts w:ascii="Mangal" w:eastAsia="Times New Roman" w:hAnsi="Mangal" w:cs="Mangal"/>
          <w:kern w:val="0"/>
          <w:sz w:val="20"/>
          <w14:ligatures w14:val="none"/>
        </w:rPr>
        <w:t> </w:t>
      </w:r>
      <w:proofErr w:type="spellStart"/>
      <w:r w:rsidRPr="00C578D8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doi</w:t>
      </w:r>
      <w:proofErr w:type="spellEnd"/>
      <w:r w:rsidRPr="00C578D8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: 10.1016/j.clnesp.2022.03.016.</w:t>
      </w:r>
      <w:r w:rsidRPr="00C578D8">
        <w:rPr>
          <w:rFonts w:ascii="Mangal" w:eastAsia="Times New Roman" w:hAnsi="Mangal" w:cs="Mangal"/>
          <w:kern w:val="0"/>
          <w:sz w:val="20"/>
          <w14:ligatures w14:val="none"/>
        </w:rPr>
        <w:t> </w:t>
      </w:r>
      <w:proofErr w:type="spellStart"/>
      <w:r w:rsidRPr="00C578D8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Epub</w:t>
      </w:r>
      <w:proofErr w:type="spellEnd"/>
      <w:r w:rsidRPr="00C578D8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 xml:space="preserve"> 2022 Mar 23.</w:t>
      </w:r>
    </w:p>
    <w:p w14:paraId="355CF156" w14:textId="77777777" w:rsidR="00C578D8" w:rsidRPr="00C578D8" w:rsidRDefault="00C578D8" w:rsidP="00C578D8">
      <w:pPr>
        <w:spacing w:before="100" w:beforeAutospacing="1" w:after="100" w:afterAutospacing="1" w:line="240" w:lineRule="auto"/>
        <w:outlineLvl w:val="0"/>
        <w:rPr>
          <w:rFonts w:ascii="Merriweather" w:eastAsia="Times New Roman" w:hAnsi="Merriweather" w:cs="Mangal"/>
          <w:b/>
          <w:bCs/>
          <w:kern w:val="36"/>
          <w:sz w:val="48"/>
          <w:szCs w:val="48"/>
          <w14:ligatures w14:val="none"/>
        </w:rPr>
      </w:pPr>
      <w:r w:rsidRPr="00C578D8">
        <w:rPr>
          <w:rFonts w:ascii="Merriweather" w:eastAsia="Times New Roman" w:hAnsi="Merriweather" w:cs="Mangal"/>
          <w:b/>
          <w:bCs/>
          <w:kern w:val="36"/>
          <w:sz w:val="48"/>
          <w:szCs w:val="48"/>
          <w14:ligatures w14:val="none"/>
        </w:rPr>
        <w:t>Efficacy of iron-folic acid treatment for reducing anemia prevalence and improving iron status in women of reproductive age: A one-year longitudinal study</w:t>
      </w:r>
    </w:p>
    <w:p w14:paraId="49A34270" w14:textId="77777777" w:rsidR="00C578D8" w:rsidRPr="00C578D8" w:rsidRDefault="00C578D8" w:rsidP="00C578D8">
      <w:pPr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  <w:hyperlink r:id="rId5" w:history="1">
        <w:proofErr w:type="spellStart"/>
        <w:r w:rsidRPr="00C578D8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Ravindranadh</w:t>
        </w:r>
        <w:proofErr w:type="spellEnd"/>
        <w:r w:rsidRPr="00C578D8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 xml:space="preserve"> Palika</w:t>
        </w:r>
      </w:hyperlink>
      <w:r w:rsidRPr="00C578D8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6" w:anchor="full-view-affiliation-1" w:tooltip="ICMR-National Institute of Nutrition, Jamai-Osmania, Hyderabad, Telangana, 500007, India." w:history="1">
        <w:r w:rsidRPr="00C578D8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1</w:t>
        </w:r>
      </w:hyperlink>
      <w:r w:rsidRPr="00C578D8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7" w:history="1">
        <w:r w:rsidRPr="00C578D8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Teena Dasi</w:t>
        </w:r>
      </w:hyperlink>
      <w:r w:rsidRPr="00C578D8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8" w:anchor="full-view-affiliation-1" w:tooltip="ICMR-National Institute of Nutrition, Jamai-Osmania, Hyderabad, Telangana, 500007, India." w:history="1">
        <w:r w:rsidRPr="00C578D8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1</w:t>
        </w:r>
      </w:hyperlink>
      <w:r w:rsidRPr="00C578D8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9" w:history="1">
        <w:r w:rsidRPr="00C578D8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Santu Ghosh</w:t>
        </w:r>
      </w:hyperlink>
      <w:r w:rsidRPr="00C578D8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0" w:anchor="full-view-affiliation-2" w:tooltip="St. John's Medical College, Sarjapur Road, Bengaluru, Karnataka, 560 034, India." w:history="1">
        <w:r w:rsidRPr="00C578D8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2</w:t>
        </w:r>
      </w:hyperlink>
      <w:r w:rsidRPr="00C578D8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11" w:history="1">
        <w:r w:rsidRPr="00C578D8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Rajini Peter</w:t>
        </w:r>
      </w:hyperlink>
      <w:r w:rsidRPr="00C578D8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2" w:anchor="full-view-affiliation-1" w:tooltip="ICMR-National Institute of Nutrition, Jamai-Osmania, Hyderabad, Telangana, 500007, India." w:history="1">
        <w:r w:rsidRPr="00C578D8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1</w:t>
        </w:r>
      </w:hyperlink>
      <w:r w:rsidRPr="00C578D8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13" w:history="1">
        <w:r w:rsidRPr="00C578D8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 xml:space="preserve">Devraj J </w:t>
        </w:r>
        <w:proofErr w:type="spellStart"/>
        <w:r w:rsidRPr="00C578D8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Parasannanavar</w:t>
        </w:r>
        <w:proofErr w:type="spellEnd"/>
      </w:hyperlink>
      <w:r w:rsidRPr="00C578D8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4" w:anchor="full-view-affiliation-1" w:tooltip="ICMR-National Institute of Nutrition, Jamai-Osmania, Hyderabad, Telangana, 500007, India." w:history="1">
        <w:r w:rsidRPr="00C578D8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1</w:t>
        </w:r>
      </w:hyperlink>
      <w:r w:rsidRPr="00C578D8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15" w:history="1">
        <w:r w:rsidRPr="00C578D8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Anju Sinha Pradhan</w:t>
        </w:r>
      </w:hyperlink>
      <w:r w:rsidRPr="00C578D8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6" w:anchor="full-view-affiliation-3" w:tooltip="Division of Reproductive and Child Health, Indian Council of Medical Research, V. Ramalingaswami Bhawan, Ansari Nagar, New Delhi, 110029, India." w:history="1">
        <w:r w:rsidRPr="00C578D8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3</w:t>
        </w:r>
      </w:hyperlink>
      <w:r w:rsidRPr="00C578D8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17" w:history="1">
        <w:r w:rsidRPr="00C578D8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 xml:space="preserve">Anura V </w:t>
        </w:r>
        <w:proofErr w:type="spellStart"/>
        <w:r w:rsidRPr="00C578D8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Kurpad</w:t>
        </w:r>
        <w:proofErr w:type="spellEnd"/>
      </w:hyperlink>
      <w:r w:rsidRPr="00C578D8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8" w:anchor="full-view-affiliation-2" w:tooltip="St. John's Medical College, Sarjapur Road, Bengaluru, Karnataka, 560 034, India." w:history="1">
        <w:r w:rsidRPr="00C578D8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2</w:t>
        </w:r>
      </w:hyperlink>
      <w:r w:rsidRPr="00C578D8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proofErr w:type="spellStart"/>
      <w:r w:rsidRPr="00C578D8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fldChar w:fldCharType="begin"/>
      </w:r>
      <w:r w:rsidRPr="00C578D8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instrText>HYPERLINK "https://pubmed.ncbi.nlm.nih.gov/?term=Sachdev+HS&amp;cauthor_id=35623842"</w:instrText>
      </w:r>
      <w:r w:rsidRPr="00C578D8"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r>
      <w:r w:rsidRPr="00C578D8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fldChar w:fldCharType="separate"/>
      </w:r>
      <w:r w:rsidRPr="00C578D8">
        <w:rPr>
          <w:rFonts w:ascii="Mangal" w:eastAsia="Times New Roman" w:hAnsi="Mangal" w:cs="Mangal"/>
          <w:color w:val="0071BC"/>
          <w:kern w:val="0"/>
          <w:sz w:val="20"/>
          <w:u w:val="single"/>
          <w14:ligatures w14:val="none"/>
        </w:rPr>
        <w:t>Harshpal</w:t>
      </w:r>
      <w:proofErr w:type="spellEnd"/>
      <w:r w:rsidRPr="00C578D8">
        <w:rPr>
          <w:rFonts w:ascii="Mangal" w:eastAsia="Times New Roman" w:hAnsi="Mangal" w:cs="Mangal"/>
          <w:color w:val="0071BC"/>
          <w:kern w:val="0"/>
          <w:sz w:val="20"/>
          <w:u w:val="single"/>
          <w14:ligatures w14:val="none"/>
        </w:rPr>
        <w:t xml:space="preserve"> Singh Sachdev</w:t>
      </w:r>
      <w:r w:rsidRPr="00C578D8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fldChar w:fldCharType="end"/>
      </w:r>
      <w:r w:rsidRPr="00C578D8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9" w:anchor="full-view-affiliation-4" w:tooltip="Sitaram Bhartia Institute of Science and Research, New Delhi, 110016, India." w:history="1">
        <w:r w:rsidRPr="00C578D8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4</w:t>
        </w:r>
      </w:hyperlink>
      <w:r w:rsidRPr="00C578D8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20" w:history="1">
        <w:r w:rsidRPr="00C578D8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Bharati Kulkarni</w:t>
        </w:r>
      </w:hyperlink>
      <w:r w:rsidRPr="00C578D8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21" w:anchor="full-view-affiliation-5" w:tooltip="ICMR-National Institute of Nutrition, Jamai-Osmania, Hyderabad, Telangana, 500007, India. Electronic address: dr.bharatikulkarni@gmail.com." w:history="1">
        <w:r w:rsidRPr="00C578D8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5</w:t>
        </w:r>
      </w:hyperlink>
      <w:r w:rsidRPr="00C578D8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22" w:history="1">
        <w:r w:rsidRPr="00C578D8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 xml:space="preserve">Raghu </w:t>
        </w:r>
        <w:proofErr w:type="spellStart"/>
        <w:r w:rsidRPr="00C578D8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Pullakhandam</w:t>
        </w:r>
        <w:proofErr w:type="spellEnd"/>
      </w:hyperlink>
      <w:r w:rsidRPr="00C578D8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23" w:anchor="full-view-affiliation-6" w:tooltip="ICMR-National Institute of Nutrition, Jamai-Osmania, Hyderabad, Telangana, 500007, India. Electronic address: raghu_nin2000@yahoo.com." w:history="1">
        <w:r w:rsidRPr="00C578D8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6</w:t>
        </w:r>
      </w:hyperlink>
    </w:p>
    <w:p w14:paraId="1738A67F" w14:textId="77777777" w:rsidR="00C578D8" w:rsidRPr="00C578D8" w:rsidRDefault="00C578D8" w:rsidP="00C578D8">
      <w:pPr>
        <w:spacing w:after="0" w:line="240" w:lineRule="auto"/>
        <w:rPr>
          <w:rFonts w:ascii="Mangal" w:eastAsia="Times New Roman" w:hAnsi="Mangal" w:cs="Mangal"/>
          <w:kern w:val="0"/>
          <w:sz w:val="20"/>
          <w14:ligatures w14:val="none"/>
        </w:rPr>
      </w:pPr>
      <w:r w:rsidRPr="00C578D8">
        <w:rPr>
          <w:rFonts w:ascii="Mangal" w:eastAsia="Times New Roman" w:hAnsi="Mangal" w:cs="Mangal"/>
          <w:kern w:val="0"/>
          <w:sz w:val="20"/>
          <w14:ligatures w14:val="none"/>
        </w:rPr>
        <w:t>Affiliations expand</w:t>
      </w:r>
    </w:p>
    <w:p w14:paraId="73580783" w14:textId="77777777" w:rsidR="00C578D8" w:rsidRPr="00C578D8" w:rsidRDefault="00C578D8" w:rsidP="00C578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angal" w:eastAsia="Times New Roman" w:hAnsi="Mangal" w:cs="Mangal"/>
          <w:kern w:val="0"/>
          <w:sz w:val="20"/>
          <w14:ligatures w14:val="none"/>
        </w:rPr>
      </w:pPr>
      <w:r w:rsidRPr="00C578D8">
        <w:rPr>
          <w:rFonts w:ascii="Mangal" w:eastAsia="Times New Roman" w:hAnsi="Mangal" w:cs="Mangal"/>
          <w:kern w:val="0"/>
          <w:sz w:val="20"/>
          <w14:ligatures w14:val="none"/>
        </w:rPr>
        <w:t>PMID: </w:t>
      </w:r>
      <w:r w:rsidRPr="00C578D8">
        <w:rPr>
          <w:rFonts w:ascii="Mangal" w:eastAsia="Times New Roman" w:hAnsi="Mangal" w:cs="Mangal"/>
          <w:color w:val="212121"/>
          <w:kern w:val="0"/>
          <w:sz w:val="20"/>
          <w14:ligatures w14:val="none"/>
        </w:rPr>
        <w:t>35623842</w:t>
      </w:r>
    </w:p>
    <w:p w14:paraId="13252155" w14:textId="77777777" w:rsidR="00C578D8" w:rsidRPr="00C578D8" w:rsidRDefault="00C578D8" w:rsidP="00C578D8">
      <w:pPr>
        <w:spacing w:after="0" w:line="240" w:lineRule="auto"/>
        <w:ind w:left="720"/>
        <w:rPr>
          <w:rFonts w:ascii="Mangal" w:eastAsia="Times New Roman" w:hAnsi="Mangal" w:cs="Mangal"/>
          <w:kern w:val="0"/>
          <w:sz w:val="20"/>
          <w14:ligatures w14:val="none"/>
        </w:rPr>
      </w:pPr>
      <w:r w:rsidRPr="00C578D8">
        <w:rPr>
          <w:rFonts w:ascii="Mangal" w:eastAsia="Times New Roman" w:hAnsi="Mangal" w:cs="Mangal"/>
          <w:kern w:val="0"/>
          <w:sz w:val="20"/>
          <w14:ligatures w14:val="none"/>
        </w:rPr>
        <w:t> </w:t>
      </w:r>
    </w:p>
    <w:p w14:paraId="127C6D5C" w14:textId="77777777" w:rsidR="00C578D8" w:rsidRPr="00C578D8" w:rsidRDefault="00C578D8" w:rsidP="00C578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angal" w:eastAsia="Times New Roman" w:hAnsi="Mangal" w:cs="Mangal"/>
          <w:kern w:val="0"/>
          <w:sz w:val="20"/>
          <w14:ligatures w14:val="none"/>
        </w:rPr>
      </w:pPr>
      <w:r w:rsidRPr="00C578D8">
        <w:rPr>
          <w:rFonts w:ascii="Mangal" w:eastAsia="Times New Roman" w:hAnsi="Mangal" w:cs="Mangal"/>
          <w:kern w:val="0"/>
          <w:sz w:val="20"/>
          <w14:ligatures w14:val="none"/>
        </w:rPr>
        <w:t>DOI: </w:t>
      </w:r>
      <w:hyperlink r:id="rId24" w:tgtFrame="_blank" w:history="1">
        <w:r w:rsidRPr="00C578D8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10.1016/j.clnesp.2022.03.016</w:t>
        </w:r>
      </w:hyperlink>
    </w:p>
    <w:p w14:paraId="4A7C0DBB" w14:textId="77777777" w:rsidR="00C578D8" w:rsidRPr="00C578D8" w:rsidRDefault="00C578D8" w:rsidP="00C578D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Merriweather" w:eastAsia="Times New Roman" w:hAnsi="Merriweather" w:cs="Segoe UI"/>
          <w:b/>
          <w:bCs/>
          <w:color w:val="212121"/>
          <w:kern w:val="0"/>
          <w:sz w:val="36"/>
          <w:szCs w:val="36"/>
          <w14:ligatures w14:val="none"/>
        </w:rPr>
      </w:pPr>
      <w:r w:rsidRPr="00C578D8">
        <w:rPr>
          <w:rFonts w:ascii="Merriweather" w:eastAsia="Times New Roman" w:hAnsi="Merriweather" w:cs="Segoe UI"/>
          <w:b/>
          <w:bCs/>
          <w:color w:val="212121"/>
          <w:kern w:val="0"/>
          <w:sz w:val="36"/>
          <w:szCs w:val="36"/>
          <w14:ligatures w14:val="none"/>
        </w:rPr>
        <w:t>Abstract</w:t>
      </w:r>
    </w:p>
    <w:p w14:paraId="14279853" w14:textId="77777777" w:rsidR="00C578D8" w:rsidRPr="00C578D8" w:rsidRDefault="00C578D8" w:rsidP="00C578D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C578D8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14:ligatures w14:val="none"/>
        </w:rPr>
        <w:t>Background: </w:t>
      </w:r>
      <w:r w:rsidRPr="00C578D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Anemia control has hitherto been through prophylaxis with weekly iron folic acid (IFA) in Indian women of reproductive age (WRA). Recently, a more precise approach has been proposed, that uses a 'screen and treat with IFA' approach for anemic WRA, combined with continued prophylactic IFA in non-anemic WRA. The efficacy of this approach was assessed in Indian WRA, along with changes in iron status biomarkers.</w:t>
      </w:r>
    </w:p>
    <w:p w14:paraId="4E0B7660" w14:textId="77777777" w:rsidR="00C578D8" w:rsidRPr="00C578D8" w:rsidRDefault="00C578D8" w:rsidP="00C578D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C578D8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14:ligatures w14:val="none"/>
        </w:rPr>
        <w:t>Methods: </w:t>
      </w:r>
      <w:r w:rsidRPr="00C578D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Young WRA (n = 470), aged 17-21 y, were screened for their venous blood hemoglobin (Hb) and treated with IFA for 90 days according to their grade of anemia, or if non-anemic, administered prophylactic IFA, per Indian policy guidelines, and then followed-up for an additional 9-months. Their Hb, plasma ferritin (PF), transferrin receptor, hepcidin and C-reactive protein concentrations were measured at baseline, during treatment and further follow-up. Anemia was diagnosed using Hb </w:t>
      </w:r>
      <w:r w:rsidRPr="00C578D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lastRenderedPageBreak/>
        <w:t xml:space="preserve">(&lt;12 g/dL) and iron deficiency (ID) using PF (&lt;15 </w:t>
      </w:r>
      <w:proofErr w:type="spellStart"/>
      <w:r w:rsidRPr="00C578D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μg</w:t>
      </w:r>
      <w:proofErr w:type="spellEnd"/>
      <w:r w:rsidRPr="00C578D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/L) cut-offs after adjustment for inflammation. Co-existence of anemia and ID was labelled iron deficiency anemia (IDA).</w:t>
      </w:r>
    </w:p>
    <w:p w14:paraId="28C932FE" w14:textId="77777777" w:rsidR="00C578D8" w:rsidRPr="00C578D8" w:rsidRDefault="00C578D8" w:rsidP="00C578D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C578D8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14:ligatures w14:val="none"/>
        </w:rPr>
        <w:t>Results: </w:t>
      </w:r>
      <w:r w:rsidRPr="00C578D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At baseline, in the whole group anemia, ID and IDA prevalence was 69.6%, 68.7% and 62.4%, respectively. At 90 days, IFA treatment or prophylaxis significantly reduced anemia by 40 percentage points (pp), from 69.6% at baseline to 29.8%; ID by 47.3 pp, and IDA by 48 pp. Moreover, significant treatment effects persisted at 365 days of follow-up.</w:t>
      </w:r>
    </w:p>
    <w:p w14:paraId="49B60640" w14:textId="77777777" w:rsidR="00C578D8" w:rsidRPr="00C578D8" w:rsidRDefault="00C578D8" w:rsidP="00C578D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C578D8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14:ligatures w14:val="none"/>
        </w:rPr>
        <w:t>Conclusion: </w:t>
      </w:r>
      <w:r w:rsidRPr="00C578D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The 'screen and treat with IFA' approach is efficacious in reducing the prevalence of anemia in general among WRA, with persistent and significant effects after 9 months of follow-up.</w:t>
      </w:r>
    </w:p>
    <w:p w14:paraId="671AA621" w14:textId="77777777" w:rsidR="00C578D8" w:rsidRPr="00C578D8" w:rsidRDefault="00C578D8" w:rsidP="00C578D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C578D8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14:ligatures w14:val="none"/>
        </w:rPr>
        <w:t>Trail registration: </w:t>
      </w:r>
      <w:r w:rsidRPr="00C578D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CTRI No:2019/02/017806, http://ctri.nic.in/.</w:t>
      </w:r>
    </w:p>
    <w:p w14:paraId="04643AE0" w14:textId="77777777" w:rsidR="00C578D8" w:rsidRPr="00C578D8" w:rsidRDefault="00C578D8" w:rsidP="00C578D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C578D8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14:ligatures w14:val="none"/>
        </w:rPr>
        <w:t>Keywords: </w:t>
      </w:r>
      <w:r w:rsidRPr="00C578D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Anemia; Ferritin; Follow up; Hemoglobin; Iron status; Iron-folic acid.</w:t>
      </w:r>
    </w:p>
    <w:p w14:paraId="143352A8" w14:textId="77777777" w:rsidR="00C578D8" w:rsidRPr="00C578D8" w:rsidRDefault="00C578D8" w:rsidP="00C578D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0"/>
          <w14:ligatures w14:val="none"/>
        </w:rPr>
      </w:pPr>
      <w:r w:rsidRPr="00C578D8">
        <w:rPr>
          <w:rFonts w:ascii="Segoe UI" w:eastAsia="Times New Roman" w:hAnsi="Segoe UI" w:cs="Segoe UI"/>
          <w:color w:val="212121"/>
          <w:kern w:val="0"/>
          <w:sz w:val="20"/>
          <w14:ligatures w14:val="none"/>
        </w:rPr>
        <w:t>Copyright © 2022 European Society for Clinical Nutrition and Metabolism. Published by Elsevier Ltd. All rights reserved.</w:t>
      </w:r>
    </w:p>
    <w:p w14:paraId="3666ABC5" w14:textId="77777777" w:rsidR="00C578D8" w:rsidRDefault="00C578D8"/>
    <w:sectPr w:rsidR="00C57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96BFD"/>
    <w:multiLevelType w:val="multilevel"/>
    <w:tmpl w:val="5096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9937A5"/>
    <w:multiLevelType w:val="multilevel"/>
    <w:tmpl w:val="D96E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0452069">
    <w:abstractNumId w:val="1"/>
  </w:num>
  <w:num w:numId="2" w16cid:durableId="302321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D8"/>
    <w:rsid w:val="00C5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62E26"/>
  <w15:chartTrackingRefBased/>
  <w15:docId w15:val="{89E7927A-8069-4E6D-B0CB-FF6158F24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78D8"/>
    <w:pPr>
      <w:spacing w:before="100" w:beforeAutospacing="1" w:after="100" w:afterAutospacing="1" w:line="240" w:lineRule="auto"/>
      <w:outlineLvl w:val="0"/>
    </w:pPr>
    <w:rPr>
      <w:rFonts w:ascii="Mangal" w:eastAsia="Times New Roman" w:hAnsi="Mangal" w:cs="Mangal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578D8"/>
    <w:pPr>
      <w:spacing w:before="100" w:beforeAutospacing="1" w:after="100" w:afterAutospacing="1" w:line="240" w:lineRule="auto"/>
      <w:outlineLvl w:val="1"/>
    </w:pPr>
    <w:rPr>
      <w:rFonts w:ascii="Mangal" w:eastAsia="Times New Roman" w:hAnsi="Mangal" w:cs="Mangal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8D8"/>
    <w:rPr>
      <w:rFonts w:ascii="Mangal" w:eastAsia="Times New Roman" w:hAnsi="Mangal" w:cs="Mangal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578D8"/>
    <w:rPr>
      <w:rFonts w:ascii="Mangal" w:eastAsia="Times New Roman" w:hAnsi="Mangal" w:cs="Mangal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578D8"/>
    <w:rPr>
      <w:color w:val="0000FF"/>
      <w:u w:val="single"/>
    </w:rPr>
  </w:style>
  <w:style w:type="character" w:customStyle="1" w:styleId="period">
    <w:name w:val="period"/>
    <w:basedOn w:val="DefaultParagraphFont"/>
    <w:rsid w:val="00C578D8"/>
  </w:style>
  <w:style w:type="character" w:customStyle="1" w:styleId="cit">
    <w:name w:val="cit"/>
    <w:basedOn w:val="DefaultParagraphFont"/>
    <w:rsid w:val="00C578D8"/>
  </w:style>
  <w:style w:type="character" w:customStyle="1" w:styleId="citation-doi">
    <w:name w:val="citation-doi"/>
    <w:basedOn w:val="DefaultParagraphFont"/>
    <w:rsid w:val="00C578D8"/>
  </w:style>
  <w:style w:type="character" w:customStyle="1" w:styleId="secondary-date">
    <w:name w:val="secondary-date"/>
    <w:basedOn w:val="DefaultParagraphFont"/>
    <w:rsid w:val="00C578D8"/>
  </w:style>
  <w:style w:type="character" w:customStyle="1" w:styleId="authors-list-item">
    <w:name w:val="authors-list-item"/>
    <w:basedOn w:val="DefaultParagraphFont"/>
    <w:rsid w:val="00C578D8"/>
  </w:style>
  <w:style w:type="character" w:customStyle="1" w:styleId="author-sup-separator">
    <w:name w:val="author-sup-separator"/>
    <w:basedOn w:val="DefaultParagraphFont"/>
    <w:rsid w:val="00C578D8"/>
  </w:style>
  <w:style w:type="character" w:customStyle="1" w:styleId="comma">
    <w:name w:val="comma"/>
    <w:basedOn w:val="DefaultParagraphFont"/>
    <w:rsid w:val="00C578D8"/>
  </w:style>
  <w:style w:type="character" w:customStyle="1" w:styleId="title">
    <w:name w:val="title"/>
    <w:basedOn w:val="DefaultParagraphFont"/>
    <w:rsid w:val="00C578D8"/>
  </w:style>
  <w:style w:type="character" w:customStyle="1" w:styleId="identifier">
    <w:name w:val="identifier"/>
    <w:basedOn w:val="DefaultParagraphFont"/>
    <w:rsid w:val="00C578D8"/>
  </w:style>
  <w:style w:type="character" w:customStyle="1" w:styleId="id-label">
    <w:name w:val="id-label"/>
    <w:basedOn w:val="DefaultParagraphFont"/>
    <w:rsid w:val="00C578D8"/>
  </w:style>
  <w:style w:type="character" w:styleId="Strong">
    <w:name w:val="Strong"/>
    <w:basedOn w:val="DefaultParagraphFont"/>
    <w:uiPriority w:val="22"/>
    <w:qFormat/>
    <w:rsid w:val="00C578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78D8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14:ligatures w14:val="none"/>
    </w:rPr>
  </w:style>
  <w:style w:type="paragraph" w:customStyle="1" w:styleId="copyright">
    <w:name w:val="copyright"/>
    <w:basedOn w:val="Normal"/>
    <w:rsid w:val="00C578D8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5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69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8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3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82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35623842/" TargetMode="External"/><Relationship Id="rId13" Type="http://schemas.openxmlformats.org/officeDocument/2006/relationships/hyperlink" Target="https://pubmed.ncbi.nlm.nih.gov/?term=Parasannanavar+DJ&amp;cauthor_id=35623842" TargetMode="External"/><Relationship Id="rId18" Type="http://schemas.openxmlformats.org/officeDocument/2006/relationships/hyperlink" Target="https://pubmed.ncbi.nlm.nih.gov/35623842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pubmed.ncbi.nlm.nih.gov/35623842/" TargetMode="External"/><Relationship Id="rId7" Type="http://schemas.openxmlformats.org/officeDocument/2006/relationships/hyperlink" Target="https://pubmed.ncbi.nlm.nih.gov/?term=Dasi+T&amp;cauthor_id=35623842" TargetMode="External"/><Relationship Id="rId12" Type="http://schemas.openxmlformats.org/officeDocument/2006/relationships/hyperlink" Target="https://pubmed.ncbi.nlm.nih.gov/35623842/" TargetMode="External"/><Relationship Id="rId17" Type="http://schemas.openxmlformats.org/officeDocument/2006/relationships/hyperlink" Target="https://pubmed.ncbi.nlm.nih.gov/?term=Kurpad+AV&amp;cauthor_id=35623842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ubmed.ncbi.nlm.nih.gov/35623842/" TargetMode="External"/><Relationship Id="rId20" Type="http://schemas.openxmlformats.org/officeDocument/2006/relationships/hyperlink" Target="https://pubmed.ncbi.nlm.nih.gov/?term=Kulkarni+B&amp;cauthor_id=3562384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ubmed.ncbi.nlm.nih.gov/35623842/" TargetMode="External"/><Relationship Id="rId11" Type="http://schemas.openxmlformats.org/officeDocument/2006/relationships/hyperlink" Target="https://pubmed.ncbi.nlm.nih.gov/?term=Peter+R&amp;cauthor_id=35623842" TargetMode="External"/><Relationship Id="rId24" Type="http://schemas.openxmlformats.org/officeDocument/2006/relationships/hyperlink" Target="https://doi.org/10.1016/j.clnesp.2022.03.016" TargetMode="External"/><Relationship Id="rId5" Type="http://schemas.openxmlformats.org/officeDocument/2006/relationships/hyperlink" Target="https://pubmed.ncbi.nlm.nih.gov/?term=Palika+R&amp;cauthor_id=35623842" TargetMode="External"/><Relationship Id="rId15" Type="http://schemas.openxmlformats.org/officeDocument/2006/relationships/hyperlink" Target="https://pubmed.ncbi.nlm.nih.gov/?term=Pradhan+AS&amp;cauthor_id=35623842" TargetMode="External"/><Relationship Id="rId23" Type="http://schemas.openxmlformats.org/officeDocument/2006/relationships/hyperlink" Target="https://pubmed.ncbi.nlm.nih.gov/35623842/" TargetMode="External"/><Relationship Id="rId10" Type="http://schemas.openxmlformats.org/officeDocument/2006/relationships/hyperlink" Target="https://pubmed.ncbi.nlm.nih.gov/35623842/" TargetMode="External"/><Relationship Id="rId19" Type="http://schemas.openxmlformats.org/officeDocument/2006/relationships/hyperlink" Target="https://pubmed.ncbi.nlm.nih.gov/3562384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?term=Ghosh+S&amp;cauthor_id=35623842" TargetMode="External"/><Relationship Id="rId14" Type="http://schemas.openxmlformats.org/officeDocument/2006/relationships/hyperlink" Target="https://pubmed.ncbi.nlm.nih.gov/35623842/" TargetMode="External"/><Relationship Id="rId22" Type="http://schemas.openxmlformats.org/officeDocument/2006/relationships/hyperlink" Target="https://pubmed.ncbi.nlm.nih.gov/?term=Pullakhandam+R&amp;cauthor_id=356238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788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sareen</dc:creator>
  <cp:keywords/>
  <dc:description/>
  <cp:lastModifiedBy>Neha Sareen</cp:lastModifiedBy>
  <cp:revision>1</cp:revision>
  <dcterms:created xsi:type="dcterms:W3CDTF">2024-02-16T13:13:00Z</dcterms:created>
  <dcterms:modified xsi:type="dcterms:W3CDTF">2024-02-16T13:13:00Z</dcterms:modified>
</cp:coreProperties>
</file>