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4B8A" w14:textId="77777777" w:rsidR="00AB6D52" w:rsidRDefault="00AB6D52" w:rsidP="00AB6D52">
      <w:pPr>
        <w:rPr>
          <w:color w:val="5B616B"/>
        </w:rPr>
      </w:pPr>
      <w:r>
        <w:rPr>
          <w:color w:val="5B616B"/>
        </w:rPr>
        <w:t>Diabetes Metab Syndr</w:t>
      </w:r>
    </w:p>
    <w:p w14:paraId="298FCAA5" w14:textId="77777777" w:rsidR="00AB6D52" w:rsidRDefault="00AB6D52" w:rsidP="00AB6D52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0C5DE9CC" w14:textId="77777777" w:rsidR="00AB6D52" w:rsidRDefault="00AB6D52" w:rsidP="00AB6D52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09DEE006" w14:textId="77777777" w:rsidR="00AB6D52" w:rsidRDefault="00AB6D52" w:rsidP="00AB6D52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46450066" w14:textId="77777777" w:rsidR="00AB6D52" w:rsidRDefault="00AB6D52" w:rsidP="00AB6D52">
      <w:pPr>
        <w:rPr>
          <w:color w:val="5B616B"/>
        </w:rPr>
      </w:pPr>
      <w:r>
        <w:rPr>
          <w:rStyle w:val="period"/>
          <w:color w:val="0071BC"/>
        </w:rPr>
        <w:t>. </w:t>
      </w:r>
      <w:r>
        <w:rPr>
          <w:rStyle w:val="cit"/>
          <w:color w:val="5B616B"/>
        </w:rPr>
        <w:t>2022 Nov;16(11):102632.</w:t>
      </w:r>
    </w:p>
    <w:p w14:paraId="602D2810" w14:textId="77777777" w:rsidR="00AB6D52" w:rsidRDefault="00AB6D52" w:rsidP="00AB6D52">
      <w:r>
        <w:t> </w:t>
      </w:r>
      <w:r>
        <w:rPr>
          <w:rStyle w:val="citation-doi"/>
          <w:color w:val="5B616B"/>
        </w:rPr>
        <w:t>doi: 10.1016/j.dsx.2022.102632.</w:t>
      </w:r>
      <w:r>
        <w:t> </w:t>
      </w:r>
      <w:r>
        <w:rPr>
          <w:rStyle w:val="secondary-date"/>
          <w:color w:val="5B616B"/>
        </w:rPr>
        <w:t>Epub 2022 Sep 28.</w:t>
      </w:r>
    </w:p>
    <w:p w14:paraId="3F66D3F1" w14:textId="77777777" w:rsidR="00AB6D52" w:rsidRDefault="00AB6D52" w:rsidP="00AB6D52">
      <w:pPr>
        <w:pStyle w:val="Heading1"/>
        <w:rPr>
          <w:rFonts w:ascii="Merriweather" w:hAnsi="Merriweather"/>
        </w:rPr>
      </w:pPr>
      <w:r>
        <w:rPr>
          <w:rFonts w:ascii="Merriweather" w:hAnsi="Merriweather"/>
        </w:rPr>
        <w:t>Frequency of iron deficiency anemia in type 2 diabetes - Insights from tertiary diabetes care centres across India</w:t>
      </w:r>
    </w:p>
    <w:p w14:paraId="66DD8E21" w14:textId="77777777" w:rsidR="00AB6D52" w:rsidRDefault="00AB6D52" w:rsidP="00AB6D52">
      <w:pPr>
        <w:rPr>
          <w:color w:val="5B616B"/>
        </w:rPr>
      </w:pPr>
      <w:hyperlink r:id="rId5" w:history="1">
        <w:r>
          <w:rPr>
            <w:rStyle w:val="Hyperlink"/>
            <w:color w:val="0071BC"/>
          </w:rPr>
          <w:t>Rajendra Pradeepa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6" w:anchor="full-view-affiliation-1" w:tooltip="Madras Diabetes Research Foundation &amp; Dr. Mohan's Diabetes Specialities Centre, ICMR Centre for Advanced Research on Diabetes, Chenna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7" w:history="1">
        <w:r>
          <w:rPr>
            <w:rStyle w:val="Hyperlink"/>
            <w:color w:val="0071BC"/>
          </w:rPr>
          <w:t>Lal Shreya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8" w:anchor="full-view-affiliation-2" w:tooltip="Emcure Pharmaceuticals Ltd., Pune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2</w:t>
        </w:r>
      </w:hyperlink>
      <w:r>
        <w:rPr>
          <w:rStyle w:val="comma"/>
          <w:color w:val="5B616B"/>
        </w:rPr>
        <w:t>, </w:t>
      </w:r>
      <w:hyperlink r:id="rId9" w:history="1">
        <w:r>
          <w:rPr>
            <w:rStyle w:val="Hyperlink"/>
            <w:color w:val="0071BC"/>
          </w:rPr>
          <w:t>Ranjit Mohan Anjana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0" w:anchor="full-view-affiliation-1" w:tooltip="Madras Diabetes Research Foundation &amp; Dr. Mohan's Diabetes Specialities Centre, ICMR Centre for Advanced Research on Diabetes, Chenna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11" w:history="1">
        <w:r>
          <w:rPr>
            <w:rStyle w:val="Hyperlink"/>
            <w:color w:val="0071BC"/>
          </w:rPr>
          <w:t>Saravanan Jebarani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2" w:anchor="full-view-affiliation-1" w:tooltip="Madras Diabetes Research Foundation &amp; Dr. Mohan's Diabetes Specialities Centre, ICMR Centre for Advanced Research on Diabetes, Chenna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13" w:history="1">
        <w:r>
          <w:rPr>
            <w:rStyle w:val="Hyperlink"/>
            <w:color w:val="0071BC"/>
          </w:rPr>
          <w:t>Nithyanantham Kamal Raj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4" w:anchor="full-view-affiliation-1" w:tooltip="Madras Diabetes Research Foundation &amp; Dr. Mohan's Diabetes Specialities Centre, ICMR Centre for Advanced Research on Diabetes, Chenna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15" w:history="1">
        <w:r>
          <w:rPr>
            <w:rStyle w:val="Hyperlink"/>
            <w:color w:val="0071BC"/>
          </w:rPr>
          <w:t>Madhan Srinivasan Kumar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6" w:anchor="full-view-affiliation-1" w:tooltip="Madras Diabetes Research Foundation &amp; Dr. Mohan's Diabetes Specialities Centre, ICMR Centre for Advanced Research on Diabetes, Chenna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17" w:history="1">
        <w:r>
          <w:rPr>
            <w:rStyle w:val="Hyperlink"/>
            <w:color w:val="0071BC"/>
          </w:rPr>
          <w:t>Parthasarathy Jayaganesh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8" w:anchor="full-view-affiliation-1" w:tooltip="Madras Diabetes Research Foundation &amp; Dr. Mohan's Diabetes Specialities Centre, ICMR Centre for Advanced Research on Diabetes, Chennai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19" w:history="1">
        <w:r>
          <w:rPr>
            <w:rStyle w:val="Hyperlink"/>
            <w:color w:val="0071BC"/>
          </w:rPr>
          <w:t>Onkar C Swami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20" w:anchor="full-view-affiliation-2" w:tooltip="Emcure Pharmaceuticals Ltd., Pune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2</w:t>
        </w:r>
      </w:hyperlink>
      <w:r>
        <w:rPr>
          <w:rStyle w:val="comma"/>
          <w:color w:val="5B616B"/>
        </w:rPr>
        <w:t>, </w:t>
      </w:r>
      <w:hyperlink r:id="rId21" w:history="1">
        <w:r>
          <w:rPr>
            <w:rStyle w:val="Hyperlink"/>
            <w:color w:val="0071BC"/>
          </w:rPr>
          <w:t>Viswanathan Mohan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22" w:anchor="full-view-affiliation-3" w:tooltip="Madras Diabetes Research Foundation &amp; Dr. Mohan's Diabetes Specialities Centre, ICMR Centre for Advanced Research on Diabetes, Chennai, India. Electronic address: drmohans@diabetes.ind.in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3</w:t>
        </w:r>
      </w:hyperlink>
    </w:p>
    <w:p w14:paraId="5CA27010" w14:textId="77777777" w:rsidR="00AB6D52" w:rsidRDefault="00AB6D52" w:rsidP="00AB6D52">
      <w:r>
        <w:t>Affiliations </w:t>
      </w:r>
      <w:r>
        <w:rPr>
          <w:rStyle w:val="title"/>
        </w:rPr>
        <w:t>expand</w:t>
      </w:r>
    </w:p>
    <w:p w14:paraId="5EB1FB1D" w14:textId="77777777" w:rsidR="00AB6D52" w:rsidRDefault="00AB6D52" w:rsidP="00AB6D5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id-label"/>
        </w:rPr>
        <w:t>PMID: </w:t>
      </w:r>
      <w:r>
        <w:rPr>
          <w:rStyle w:val="Strong"/>
          <w:b w:val="0"/>
          <w:bCs w:val="0"/>
          <w:color w:val="212121"/>
        </w:rPr>
        <w:t>36343394</w:t>
      </w:r>
    </w:p>
    <w:p w14:paraId="6CFB778D" w14:textId="77777777" w:rsidR="00AB6D52" w:rsidRDefault="00AB6D52" w:rsidP="00AB6D52">
      <w:pPr>
        <w:ind w:left="720"/>
      </w:pPr>
      <w:r>
        <w:t> </w:t>
      </w:r>
    </w:p>
    <w:p w14:paraId="06264B45" w14:textId="77777777" w:rsidR="00AB6D52" w:rsidRDefault="00AB6D52" w:rsidP="00AB6D5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id-label"/>
        </w:rPr>
        <w:t>DOI: </w:t>
      </w:r>
      <w:hyperlink r:id="rId23" w:tgtFrame="_blank" w:history="1">
        <w:r>
          <w:rPr>
            <w:rStyle w:val="Hyperlink"/>
            <w:color w:val="0071BC"/>
          </w:rPr>
          <w:t>10.1016/j.dsx.2022.102632</w:t>
        </w:r>
      </w:hyperlink>
    </w:p>
    <w:p w14:paraId="0622510A" w14:textId="77777777" w:rsidR="00AB6D52" w:rsidRDefault="00AB6D52" w:rsidP="00AB6D52">
      <w:pPr>
        <w:pStyle w:val="Heading2"/>
        <w:shd w:val="clear" w:color="auto" w:fill="FFFFFF"/>
        <w:rPr>
          <w:rFonts w:ascii="Merriweather" w:hAnsi="Merriweather" w:cs="Segoe UI"/>
          <w:color w:val="212121"/>
        </w:rPr>
      </w:pPr>
      <w:r>
        <w:rPr>
          <w:rFonts w:ascii="Merriweather" w:hAnsi="Merriweather" w:cs="Segoe UI"/>
          <w:color w:val="212121"/>
        </w:rPr>
        <w:t>Abstract</w:t>
      </w:r>
    </w:p>
    <w:p w14:paraId="6D8B9E3C" w14:textId="77777777" w:rsidR="00AB6D52" w:rsidRDefault="00AB6D52" w:rsidP="00AB6D52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Aim: </w:t>
      </w:r>
      <w:r>
        <w:rPr>
          <w:rFonts w:ascii="Segoe UI" w:hAnsi="Segoe UI" w:cs="Segoe UI"/>
          <w:color w:val="212121"/>
          <w:sz w:val="24"/>
          <w:szCs w:val="24"/>
        </w:rPr>
        <w:t>To study the frequency of iron deficiency anemia (IDA) in individuals with type 2 diabetes mellitus (T2DM) seen at tertiary diabetes care centres across India.</w:t>
      </w:r>
    </w:p>
    <w:p w14:paraId="20424714" w14:textId="77777777" w:rsidR="00AB6D52" w:rsidRDefault="00AB6D52" w:rsidP="00AB6D52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Methods: </w:t>
      </w:r>
      <w:r>
        <w:rPr>
          <w:rFonts w:ascii="Segoe UI" w:hAnsi="Segoe UI" w:cs="Segoe UI"/>
          <w:color w:val="212121"/>
          <w:sz w:val="24"/>
          <w:szCs w:val="24"/>
        </w:rPr>
        <w:t>This is a retrospective study (January 1, 2017-December 31, 2019), which included 1137 individuals with T2DM, aged ≥18 years, for whom data on glycemic, lipid and haematological parameters were available. Anthropometric measurements were done using standardized techniques. Biochemical investigations included fasting plasma glucose[FPG], post prandial plasma glucose, HbA1c, lipids and serum ferritin and iron wherever feasible.</w:t>
      </w:r>
    </w:p>
    <w:p w14:paraId="29AD97AB" w14:textId="77777777" w:rsidR="00AB6D52" w:rsidRDefault="00AB6D52" w:rsidP="00AB6D52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Results: </w:t>
      </w:r>
      <w:r>
        <w:rPr>
          <w:rFonts w:ascii="Segoe UI" w:hAnsi="Segoe UI" w:cs="Segoe UI"/>
          <w:color w:val="212121"/>
          <w:sz w:val="24"/>
          <w:szCs w:val="24"/>
        </w:rPr>
        <w:t xml:space="preserve">Of the 1137 individuals included for the study, 117 (10.3%) were categorized as no 'iron deficiency' (ID) group [normal hemoglobin: male ≥13 g/dl, female ≥12 g/dl and normal serum ferritin ≥70 μg/L], 123 (10.8%) as ID group [normal hemoglobin and low serum ferritin &lt;70 μg/L)], 447 (39.3%) as IDA group [low haemoglobin: male &lt;13 g/dl, female &lt;12 g/dl and low serum ferritin] and 450 </w:t>
      </w:r>
      <w:r>
        <w:rPr>
          <w:rFonts w:ascii="Segoe UI" w:hAnsi="Segoe UI" w:cs="Segoe UI"/>
          <w:color w:val="212121"/>
          <w:sz w:val="24"/>
          <w:szCs w:val="24"/>
        </w:rPr>
        <w:lastRenderedPageBreak/>
        <w:t>(39.6%) as 'anemia of chronic disease' (ACD) group [low hemoglobin and normal serum ferritin]. The percentage of women having ID (57.7%) and IDA (65.3%) was significantly higher than their male counterparts. ID was most prevalent (61.7%) in the individuals with duration of diabetes &lt;5 years whereas ACD was most prevalent (50.5%) in individuals with long standing diabetes (&gt;10 years). Independent risk factors for IDA were female gender (OR 3.3,95% CI:1.75-6.23, p &lt; 0.001), duration of diabetes (OR 1.05, 95% CI 1.01-1.11, p = 0.028) and FPG (OR 1.01, 95% CI 0.99-1.00, p = 0.018).</w:t>
      </w:r>
    </w:p>
    <w:p w14:paraId="03A046F4" w14:textId="77777777" w:rsidR="00AB6D52" w:rsidRDefault="00AB6D52" w:rsidP="00AB6D52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Conclusions: </w:t>
      </w:r>
      <w:r>
        <w:rPr>
          <w:rFonts w:ascii="Segoe UI" w:hAnsi="Segoe UI" w:cs="Segoe UI"/>
          <w:color w:val="212121"/>
          <w:sz w:val="24"/>
          <w:szCs w:val="24"/>
        </w:rPr>
        <w:t>There is a need of identifying and monitoring iron status and anemia in patients with T2DM.</w:t>
      </w:r>
    </w:p>
    <w:p w14:paraId="36CEAB39" w14:textId="77777777" w:rsidR="00AB6D52" w:rsidRDefault="00AB6D52" w:rsidP="00AB6D52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Keywords: </w:t>
      </w:r>
      <w:r>
        <w:rPr>
          <w:rFonts w:ascii="Segoe UI" w:hAnsi="Segoe UI" w:cs="Segoe UI"/>
          <w:color w:val="212121"/>
          <w:sz w:val="24"/>
          <w:szCs w:val="24"/>
        </w:rPr>
        <w:t>Anemia; Ferritin; India; Iron deficiency; Type 2 diabetes.</w:t>
      </w:r>
    </w:p>
    <w:p w14:paraId="318B8678" w14:textId="77777777" w:rsidR="00AB6D52" w:rsidRDefault="00AB6D52"/>
    <w:sectPr w:rsidR="00AB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3891"/>
    <w:multiLevelType w:val="multilevel"/>
    <w:tmpl w:val="A6F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A0996"/>
    <w:multiLevelType w:val="multilevel"/>
    <w:tmpl w:val="ED4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83431">
    <w:abstractNumId w:val="0"/>
  </w:num>
  <w:num w:numId="2" w16cid:durableId="13915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52"/>
    <w:rsid w:val="00AB6D52"/>
    <w:rsid w:val="00A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744E"/>
  <w15:chartTrackingRefBased/>
  <w15:docId w15:val="{30F51A28-B016-4B61-8775-D3A1791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D52"/>
    <w:pPr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B6D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D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52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6D52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6D52"/>
    <w:rPr>
      <w:color w:val="0000FF"/>
      <w:u w:val="single"/>
    </w:rPr>
  </w:style>
  <w:style w:type="character" w:customStyle="1" w:styleId="period">
    <w:name w:val="period"/>
    <w:basedOn w:val="DefaultParagraphFont"/>
    <w:rsid w:val="00AB6D52"/>
  </w:style>
  <w:style w:type="character" w:customStyle="1" w:styleId="cit">
    <w:name w:val="cit"/>
    <w:basedOn w:val="DefaultParagraphFont"/>
    <w:rsid w:val="00AB6D52"/>
  </w:style>
  <w:style w:type="character" w:customStyle="1" w:styleId="citation-doi">
    <w:name w:val="citation-doi"/>
    <w:basedOn w:val="DefaultParagraphFont"/>
    <w:rsid w:val="00AB6D52"/>
  </w:style>
  <w:style w:type="character" w:customStyle="1" w:styleId="secondary-date">
    <w:name w:val="secondary-date"/>
    <w:basedOn w:val="DefaultParagraphFont"/>
    <w:rsid w:val="00AB6D52"/>
  </w:style>
  <w:style w:type="character" w:customStyle="1" w:styleId="authors-list-item">
    <w:name w:val="authors-list-item"/>
    <w:basedOn w:val="DefaultParagraphFont"/>
    <w:rsid w:val="00AB6D52"/>
  </w:style>
  <w:style w:type="character" w:customStyle="1" w:styleId="author-sup-separator">
    <w:name w:val="author-sup-separator"/>
    <w:basedOn w:val="DefaultParagraphFont"/>
    <w:rsid w:val="00AB6D52"/>
  </w:style>
  <w:style w:type="character" w:customStyle="1" w:styleId="comma">
    <w:name w:val="comma"/>
    <w:basedOn w:val="DefaultParagraphFont"/>
    <w:rsid w:val="00AB6D52"/>
  </w:style>
  <w:style w:type="character" w:customStyle="1" w:styleId="title">
    <w:name w:val="title"/>
    <w:basedOn w:val="DefaultParagraphFont"/>
    <w:rsid w:val="00AB6D52"/>
  </w:style>
  <w:style w:type="character" w:customStyle="1" w:styleId="identifier">
    <w:name w:val="identifier"/>
    <w:basedOn w:val="DefaultParagraphFont"/>
    <w:rsid w:val="00AB6D52"/>
  </w:style>
  <w:style w:type="character" w:customStyle="1" w:styleId="id-label">
    <w:name w:val="id-label"/>
    <w:basedOn w:val="DefaultParagraphFont"/>
    <w:rsid w:val="00AB6D52"/>
  </w:style>
  <w:style w:type="character" w:styleId="Strong">
    <w:name w:val="Strong"/>
    <w:basedOn w:val="DefaultParagraphFont"/>
    <w:uiPriority w:val="22"/>
    <w:qFormat/>
    <w:rsid w:val="00AB6D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6343394/" TargetMode="External"/><Relationship Id="rId13" Type="http://schemas.openxmlformats.org/officeDocument/2006/relationships/hyperlink" Target="https://pubmed.ncbi.nlm.nih.gov/?term=Kamal+Raj+N&amp;cauthor_id=36343394" TargetMode="External"/><Relationship Id="rId18" Type="http://schemas.openxmlformats.org/officeDocument/2006/relationships/hyperlink" Target="https://pubmed.ncbi.nlm.nih.gov/3634339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?term=Mohan+V&amp;cauthor_id=36343394" TargetMode="External"/><Relationship Id="rId7" Type="http://schemas.openxmlformats.org/officeDocument/2006/relationships/hyperlink" Target="https://pubmed.ncbi.nlm.nih.gov/?term=Shreya+L&amp;cauthor_id=36343394" TargetMode="External"/><Relationship Id="rId12" Type="http://schemas.openxmlformats.org/officeDocument/2006/relationships/hyperlink" Target="https://pubmed.ncbi.nlm.nih.gov/36343394/" TargetMode="External"/><Relationship Id="rId17" Type="http://schemas.openxmlformats.org/officeDocument/2006/relationships/hyperlink" Target="https://pubmed.ncbi.nlm.nih.gov/?term=Jayaganesh+P&amp;cauthor_id=3634339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6343394/" TargetMode="External"/><Relationship Id="rId20" Type="http://schemas.openxmlformats.org/officeDocument/2006/relationships/hyperlink" Target="https://pubmed.ncbi.nlm.nih.gov/3634339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6343394/" TargetMode="External"/><Relationship Id="rId11" Type="http://schemas.openxmlformats.org/officeDocument/2006/relationships/hyperlink" Target="https://pubmed.ncbi.nlm.nih.gov/?term=Jebarani+S&amp;cauthor_id=3634339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ubmed.ncbi.nlm.nih.gov/?term=Pradeepa+R&amp;cauthor_id=36343394" TargetMode="External"/><Relationship Id="rId15" Type="http://schemas.openxmlformats.org/officeDocument/2006/relationships/hyperlink" Target="https://pubmed.ncbi.nlm.nih.gov/?term=Kumar+MS&amp;cauthor_id=36343394" TargetMode="External"/><Relationship Id="rId23" Type="http://schemas.openxmlformats.org/officeDocument/2006/relationships/hyperlink" Target="https://doi.org/10.1016/j.dsx.2022.102632" TargetMode="External"/><Relationship Id="rId10" Type="http://schemas.openxmlformats.org/officeDocument/2006/relationships/hyperlink" Target="https://pubmed.ncbi.nlm.nih.gov/36343394/" TargetMode="External"/><Relationship Id="rId19" Type="http://schemas.openxmlformats.org/officeDocument/2006/relationships/hyperlink" Target="https://pubmed.ncbi.nlm.nih.gov/?term=Swami+OC&amp;cauthor_id=363433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Anjana+RM&amp;cauthor_id=36343394" TargetMode="External"/><Relationship Id="rId14" Type="http://schemas.openxmlformats.org/officeDocument/2006/relationships/hyperlink" Target="https://pubmed.ncbi.nlm.nih.gov/36343394/" TargetMode="External"/><Relationship Id="rId22" Type="http://schemas.openxmlformats.org/officeDocument/2006/relationships/hyperlink" Target="https://pubmed.ncbi.nlm.nih.gov/363433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2024-02-19T16:20:00Z</dcterms:created>
  <dcterms:modified xsi:type="dcterms:W3CDTF">2024-02-19T16:33:00Z</dcterms:modified>
</cp:coreProperties>
</file>