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37C0" w14:textId="77777777" w:rsidR="001B45AC" w:rsidRDefault="001B45AC" w:rsidP="001B45AC">
      <w:pPr>
        <w:rPr>
          <w:color w:val="5B616B"/>
        </w:rPr>
      </w:pPr>
      <w:r>
        <w:rPr>
          <w:color w:val="5B616B"/>
        </w:rPr>
        <w:t>Diabetes Metab Syndr</w:t>
      </w:r>
    </w:p>
    <w:p w14:paraId="0A0C93A0" w14:textId="77777777" w:rsidR="001B45AC" w:rsidRDefault="001B45AC" w:rsidP="001B45AC">
      <w:pPr>
        <w:numPr>
          <w:ilvl w:val="0"/>
          <w:numId w:val="1"/>
        </w:numPr>
        <w:shd w:val="clear" w:color="auto" w:fill="FFFFFF"/>
        <w:rPr>
          <w:color w:val="5B616B"/>
        </w:rPr>
      </w:pPr>
    </w:p>
    <w:p w14:paraId="1F88108F" w14:textId="77777777" w:rsidR="001B45AC" w:rsidRDefault="001B45AC" w:rsidP="001B45AC">
      <w:pPr>
        <w:numPr>
          <w:ilvl w:val="0"/>
          <w:numId w:val="1"/>
        </w:numPr>
        <w:shd w:val="clear" w:color="auto" w:fill="FFFFFF"/>
        <w:rPr>
          <w:color w:val="5B616B"/>
        </w:rPr>
      </w:pPr>
    </w:p>
    <w:p w14:paraId="41EFF09A" w14:textId="77777777" w:rsidR="001B45AC" w:rsidRDefault="001B45AC" w:rsidP="001B45AC">
      <w:pPr>
        <w:numPr>
          <w:ilvl w:val="0"/>
          <w:numId w:val="1"/>
        </w:numPr>
        <w:shd w:val="clear" w:color="auto" w:fill="FFFFFF"/>
        <w:rPr>
          <w:color w:val="5B616B"/>
        </w:rPr>
      </w:pPr>
    </w:p>
    <w:p w14:paraId="2CEE15B2" w14:textId="77777777" w:rsidR="001B45AC" w:rsidRDefault="001B45AC" w:rsidP="001B45AC">
      <w:pPr>
        <w:rPr>
          <w:color w:val="5B616B"/>
        </w:rPr>
      </w:pPr>
      <w:r>
        <w:rPr>
          <w:rStyle w:val="period"/>
          <w:color w:val="0071BC"/>
        </w:rPr>
        <w:t>. </w:t>
      </w:r>
      <w:r>
        <w:rPr>
          <w:rStyle w:val="cit"/>
          <w:color w:val="5B616B"/>
        </w:rPr>
        <w:t>2020 Nov-Dec;14(6):1837-1840.</w:t>
      </w:r>
    </w:p>
    <w:p w14:paraId="44C307A9" w14:textId="77777777" w:rsidR="001B45AC" w:rsidRDefault="001B45AC" w:rsidP="001B45AC">
      <w:r>
        <w:t> </w:t>
      </w:r>
      <w:r>
        <w:rPr>
          <w:rStyle w:val="citation-doi"/>
          <w:color w:val="5B616B"/>
        </w:rPr>
        <w:t>doi: 10.1016/j.dsx.2020.09.020.</w:t>
      </w:r>
      <w:r>
        <w:t> </w:t>
      </w:r>
      <w:r>
        <w:rPr>
          <w:rStyle w:val="secondary-date"/>
          <w:color w:val="5B616B"/>
        </w:rPr>
        <w:t>Epub 2020 Sep 14.</w:t>
      </w:r>
    </w:p>
    <w:p w14:paraId="0909A881" w14:textId="77777777" w:rsidR="001B45AC" w:rsidRDefault="001B45AC" w:rsidP="001B45AC">
      <w:pPr>
        <w:pStyle w:val="Heading1"/>
        <w:rPr>
          <w:rFonts w:ascii="Merriweather" w:hAnsi="Merriweather"/>
        </w:rPr>
      </w:pPr>
      <w:r>
        <w:rPr>
          <w:rFonts w:ascii="Merriweather" w:hAnsi="Merriweather"/>
        </w:rPr>
        <w:t>Anaemia in patients with type 2 diabetes mellitus without nephropathy is related to iron deficiency</w:t>
      </w:r>
    </w:p>
    <w:p w14:paraId="529202A0" w14:textId="77777777" w:rsidR="001B45AC" w:rsidRDefault="001B45AC" w:rsidP="001B45AC">
      <w:pPr>
        <w:rPr>
          <w:color w:val="5B616B"/>
        </w:rPr>
      </w:pPr>
      <w:hyperlink r:id="rId5" w:history="1">
        <w:r>
          <w:rPr>
            <w:rStyle w:val="Hyperlink"/>
            <w:color w:val="0071BC"/>
          </w:rPr>
          <w:t>M Praveen</w:t>
        </w:r>
      </w:hyperlink>
      <w:r>
        <w:rPr>
          <w:rStyle w:val="author-sup-separator"/>
          <w:color w:val="5B616B"/>
          <w:sz w:val="18"/>
          <w:szCs w:val="18"/>
          <w:vertAlign w:val="superscript"/>
        </w:rPr>
        <w:t> </w:t>
      </w:r>
      <w:hyperlink r:id="rId6" w:anchor="full-view-affiliation-1" w:tooltip="Department of Medicine, University College of Medical Sciences (University of Delhi) &amp; GTB Hospital, Dilshad Garden, Delhi, 110095, India." w:history="1">
        <w:r>
          <w:rPr>
            <w:rStyle w:val="Hyperlink"/>
            <w:color w:val="323A45"/>
            <w:sz w:val="18"/>
            <w:szCs w:val="18"/>
            <w:shd w:val="clear" w:color="auto" w:fill="F1F1F1"/>
            <w:vertAlign w:val="superscript"/>
          </w:rPr>
          <w:t>1</w:t>
        </w:r>
      </w:hyperlink>
      <w:r>
        <w:rPr>
          <w:rStyle w:val="comma"/>
          <w:color w:val="5B616B"/>
        </w:rPr>
        <w:t>, </w:t>
      </w:r>
      <w:hyperlink r:id="rId7" w:history="1">
        <w:r>
          <w:rPr>
            <w:rStyle w:val="Hyperlink"/>
            <w:color w:val="0071BC"/>
          </w:rPr>
          <w:t>N Jain</w:t>
        </w:r>
      </w:hyperlink>
      <w:r>
        <w:rPr>
          <w:rStyle w:val="author-sup-separator"/>
          <w:color w:val="5B616B"/>
          <w:sz w:val="18"/>
          <w:szCs w:val="18"/>
          <w:vertAlign w:val="superscript"/>
        </w:rPr>
        <w:t> </w:t>
      </w:r>
      <w:hyperlink r:id="rId8" w:anchor="full-view-affiliation-2" w:tooltip="Department of Endocrinology, Centre for Diabetes Endocrinology &amp; Metabolism, University College of Medical Sciences (University of Delhi) &amp; GTB Hospital, Dilshad Garden, Delhi, 110095, India." w:history="1">
        <w:r>
          <w:rPr>
            <w:rStyle w:val="Hyperlink"/>
            <w:color w:val="323A45"/>
            <w:sz w:val="18"/>
            <w:szCs w:val="18"/>
            <w:shd w:val="clear" w:color="auto" w:fill="F1F1F1"/>
            <w:vertAlign w:val="superscript"/>
          </w:rPr>
          <w:t>2</w:t>
        </w:r>
      </w:hyperlink>
      <w:r>
        <w:rPr>
          <w:rStyle w:val="comma"/>
          <w:color w:val="5B616B"/>
        </w:rPr>
        <w:t>, </w:t>
      </w:r>
      <w:hyperlink r:id="rId9" w:history="1">
        <w:r>
          <w:rPr>
            <w:rStyle w:val="Hyperlink"/>
            <w:color w:val="0071BC"/>
          </w:rPr>
          <w:t>N Raizada</w:t>
        </w:r>
      </w:hyperlink>
      <w:r>
        <w:rPr>
          <w:rStyle w:val="author-sup-separator"/>
          <w:color w:val="5B616B"/>
          <w:sz w:val="18"/>
          <w:szCs w:val="18"/>
          <w:vertAlign w:val="superscript"/>
        </w:rPr>
        <w:t> </w:t>
      </w:r>
      <w:hyperlink r:id="rId10" w:anchor="full-view-affiliation-2" w:tooltip="Department of Endocrinology, Centre for Diabetes Endocrinology &amp; Metabolism, University College of Medical Sciences (University of Delhi) &amp; GTB Hospital, Dilshad Garden, Delhi, 110095, India." w:history="1">
        <w:r>
          <w:rPr>
            <w:rStyle w:val="Hyperlink"/>
            <w:color w:val="323A45"/>
            <w:sz w:val="18"/>
            <w:szCs w:val="18"/>
            <w:shd w:val="clear" w:color="auto" w:fill="F1F1F1"/>
            <w:vertAlign w:val="superscript"/>
          </w:rPr>
          <w:t>2</w:t>
        </w:r>
      </w:hyperlink>
      <w:r>
        <w:rPr>
          <w:rStyle w:val="comma"/>
          <w:color w:val="5B616B"/>
        </w:rPr>
        <w:t>, </w:t>
      </w:r>
      <w:hyperlink r:id="rId11" w:history="1">
        <w:r>
          <w:rPr>
            <w:rStyle w:val="Hyperlink"/>
            <w:color w:val="0071BC"/>
          </w:rPr>
          <w:t>S Sharma</w:t>
        </w:r>
      </w:hyperlink>
      <w:r>
        <w:rPr>
          <w:rStyle w:val="author-sup-separator"/>
          <w:color w:val="5B616B"/>
          <w:sz w:val="18"/>
          <w:szCs w:val="18"/>
          <w:vertAlign w:val="superscript"/>
        </w:rPr>
        <w:t> </w:t>
      </w:r>
      <w:hyperlink r:id="rId12" w:anchor="full-view-affiliation-3" w:tooltip="Department of Pathology, University College of Medical Sciences (University of Delhi) &amp; GTB Hospital, Dilshad Garden, Delhi, 110095, India." w:history="1">
        <w:r>
          <w:rPr>
            <w:rStyle w:val="Hyperlink"/>
            <w:color w:val="323A45"/>
            <w:sz w:val="18"/>
            <w:szCs w:val="18"/>
            <w:shd w:val="clear" w:color="auto" w:fill="F1F1F1"/>
            <w:vertAlign w:val="superscript"/>
          </w:rPr>
          <w:t>3</w:t>
        </w:r>
      </w:hyperlink>
      <w:r>
        <w:rPr>
          <w:rStyle w:val="comma"/>
          <w:color w:val="5B616B"/>
        </w:rPr>
        <w:t>, </w:t>
      </w:r>
      <w:hyperlink r:id="rId13" w:history="1">
        <w:r>
          <w:rPr>
            <w:rStyle w:val="Hyperlink"/>
            <w:color w:val="0071BC"/>
          </w:rPr>
          <w:t>S Narang</w:t>
        </w:r>
      </w:hyperlink>
      <w:r>
        <w:rPr>
          <w:rStyle w:val="author-sup-separator"/>
          <w:color w:val="5B616B"/>
          <w:sz w:val="18"/>
          <w:szCs w:val="18"/>
          <w:vertAlign w:val="superscript"/>
        </w:rPr>
        <w:t> </w:t>
      </w:r>
      <w:hyperlink r:id="rId14" w:anchor="full-view-affiliation-1" w:tooltip="Department of Medicine, University College of Medical Sciences (University of Delhi) &amp; GTB Hospital, Dilshad Garden, Delhi, 110095, India." w:history="1">
        <w:r>
          <w:rPr>
            <w:rStyle w:val="Hyperlink"/>
            <w:color w:val="323A45"/>
            <w:sz w:val="18"/>
            <w:szCs w:val="18"/>
            <w:shd w:val="clear" w:color="auto" w:fill="F1F1F1"/>
            <w:vertAlign w:val="superscript"/>
          </w:rPr>
          <w:t>1</w:t>
        </w:r>
      </w:hyperlink>
      <w:r>
        <w:rPr>
          <w:rStyle w:val="comma"/>
          <w:color w:val="5B616B"/>
        </w:rPr>
        <w:t>, </w:t>
      </w:r>
      <w:hyperlink r:id="rId15" w:history="1">
        <w:r>
          <w:rPr>
            <w:rStyle w:val="Hyperlink"/>
            <w:color w:val="0071BC"/>
          </w:rPr>
          <w:t>S V Madhu</w:t>
        </w:r>
      </w:hyperlink>
      <w:r>
        <w:rPr>
          <w:rStyle w:val="author-sup-separator"/>
          <w:color w:val="5B616B"/>
          <w:sz w:val="18"/>
          <w:szCs w:val="18"/>
          <w:vertAlign w:val="superscript"/>
        </w:rPr>
        <w:t> </w:t>
      </w:r>
      <w:hyperlink r:id="rId16" w:anchor="full-view-affiliation-4" w:tooltip="Department of Endocrinology, Centre for Diabetes Endocrinology &amp; Metabolism, University College of Medical Sciences (University of Delhi) &amp; GTB Hospital, Dilshad Garden, Delhi, 110095, India. Electronic address: drsvmadhu@gmail.com." w:history="1">
        <w:r>
          <w:rPr>
            <w:rStyle w:val="Hyperlink"/>
            <w:color w:val="323A45"/>
            <w:sz w:val="18"/>
            <w:szCs w:val="18"/>
            <w:shd w:val="clear" w:color="auto" w:fill="F1F1F1"/>
            <w:vertAlign w:val="superscript"/>
          </w:rPr>
          <w:t>4</w:t>
        </w:r>
      </w:hyperlink>
    </w:p>
    <w:p w14:paraId="467BA2F2" w14:textId="77777777" w:rsidR="001B45AC" w:rsidRDefault="001B45AC" w:rsidP="001B45AC">
      <w:r>
        <w:t>Affiliations </w:t>
      </w:r>
      <w:r>
        <w:rPr>
          <w:rStyle w:val="title"/>
        </w:rPr>
        <w:t>expand</w:t>
      </w:r>
    </w:p>
    <w:p w14:paraId="1026EA32" w14:textId="77777777" w:rsidR="001B45AC" w:rsidRDefault="001B45AC" w:rsidP="001B45AC">
      <w:pPr>
        <w:numPr>
          <w:ilvl w:val="0"/>
          <w:numId w:val="2"/>
        </w:numPr>
        <w:spacing w:before="100" w:beforeAutospacing="1" w:after="100" w:afterAutospacing="1"/>
      </w:pPr>
      <w:r>
        <w:rPr>
          <w:rStyle w:val="id-label"/>
        </w:rPr>
        <w:t>PMID: </w:t>
      </w:r>
      <w:r>
        <w:rPr>
          <w:rStyle w:val="Strong"/>
          <w:b w:val="0"/>
          <w:bCs w:val="0"/>
          <w:color w:val="212121"/>
        </w:rPr>
        <w:t>32961516</w:t>
      </w:r>
    </w:p>
    <w:p w14:paraId="3FF33032" w14:textId="77777777" w:rsidR="001B45AC" w:rsidRDefault="001B45AC" w:rsidP="001B45AC">
      <w:pPr>
        <w:ind w:left="720"/>
      </w:pPr>
      <w:r>
        <w:t> </w:t>
      </w:r>
    </w:p>
    <w:p w14:paraId="6F8CB232" w14:textId="77777777" w:rsidR="001B45AC" w:rsidRDefault="001B45AC" w:rsidP="001B45AC">
      <w:pPr>
        <w:numPr>
          <w:ilvl w:val="0"/>
          <w:numId w:val="2"/>
        </w:numPr>
        <w:spacing w:before="100" w:beforeAutospacing="1" w:after="100" w:afterAutospacing="1"/>
      </w:pPr>
      <w:r>
        <w:rPr>
          <w:rStyle w:val="id-label"/>
        </w:rPr>
        <w:t>DOI: </w:t>
      </w:r>
      <w:hyperlink r:id="rId17" w:tgtFrame="_blank" w:history="1">
        <w:r>
          <w:rPr>
            <w:rStyle w:val="Hyperlink"/>
            <w:color w:val="0071BC"/>
          </w:rPr>
          <w:t>10.1016/j.dsx.2020.09.020</w:t>
        </w:r>
      </w:hyperlink>
    </w:p>
    <w:p w14:paraId="039D25AC" w14:textId="77777777" w:rsidR="001B45AC" w:rsidRDefault="001B45AC" w:rsidP="001B45AC">
      <w:pPr>
        <w:pStyle w:val="Heading2"/>
        <w:shd w:val="clear" w:color="auto" w:fill="FFFFFF"/>
        <w:rPr>
          <w:rFonts w:ascii="Merriweather" w:hAnsi="Merriweather" w:cs="Segoe UI"/>
          <w:color w:val="212121"/>
        </w:rPr>
      </w:pPr>
      <w:r>
        <w:rPr>
          <w:rFonts w:ascii="Merriweather" w:hAnsi="Merriweather" w:cs="Segoe UI"/>
          <w:color w:val="212121"/>
        </w:rPr>
        <w:t>Abstract</w:t>
      </w:r>
    </w:p>
    <w:p w14:paraId="3EBAF48D" w14:textId="77777777" w:rsidR="001B45AC" w:rsidRDefault="001B45AC" w:rsidP="001B45AC">
      <w:pPr>
        <w:pStyle w:val="NormalWeb"/>
        <w:shd w:val="clear" w:color="auto" w:fill="FFFFFF"/>
        <w:rPr>
          <w:rFonts w:ascii="Segoe UI" w:hAnsi="Segoe UI" w:cs="Segoe UI"/>
          <w:color w:val="212121"/>
          <w:sz w:val="24"/>
          <w:szCs w:val="24"/>
        </w:rPr>
      </w:pPr>
      <w:r>
        <w:rPr>
          <w:rStyle w:val="Strong"/>
          <w:rFonts w:ascii="Segoe UI" w:hAnsi="Segoe UI" w:cs="Segoe UI"/>
          <w:color w:val="212121"/>
          <w:sz w:val="24"/>
          <w:szCs w:val="24"/>
        </w:rPr>
        <w:t>Background and aims: </w:t>
      </w:r>
      <w:r>
        <w:rPr>
          <w:rFonts w:ascii="Segoe UI" w:hAnsi="Segoe UI" w:cs="Segoe UI"/>
          <w:color w:val="212121"/>
          <w:sz w:val="24"/>
          <w:szCs w:val="24"/>
        </w:rPr>
        <w:t>Iron deficiency anaemia, although well reported in diabetic nephropathy, has not been well studied in type 2 diabetes patients in the absence of nephropathy. We studied the prevalence of anaemia and iron deficiency in type 2 diabetes patients without nephropathy.</w:t>
      </w:r>
    </w:p>
    <w:p w14:paraId="2544A07D" w14:textId="77777777" w:rsidR="001B45AC" w:rsidRDefault="001B45AC" w:rsidP="001B45AC">
      <w:pPr>
        <w:pStyle w:val="NormalWeb"/>
        <w:shd w:val="clear" w:color="auto" w:fill="FFFFFF"/>
        <w:rPr>
          <w:rFonts w:ascii="Segoe UI" w:hAnsi="Segoe UI" w:cs="Segoe UI"/>
          <w:color w:val="212121"/>
          <w:sz w:val="24"/>
          <w:szCs w:val="24"/>
        </w:rPr>
      </w:pPr>
      <w:r>
        <w:rPr>
          <w:rStyle w:val="Strong"/>
          <w:rFonts w:ascii="Segoe UI" w:hAnsi="Segoe UI" w:cs="Segoe UI"/>
          <w:color w:val="212121"/>
          <w:sz w:val="24"/>
          <w:szCs w:val="24"/>
        </w:rPr>
        <w:t>Material and methods: </w:t>
      </w:r>
      <w:r>
        <w:rPr>
          <w:rFonts w:ascii="Segoe UI" w:hAnsi="Segoe UI" w:cs="Segoe UI"/>
          <w:color w:val="212121"/>
          <w:sz w:val="24"/>
          <w:szCs w:val="24"/>
        </w:rPr>
        <w:t>A total of 89 patients were selected for this study. 24 h urine protein less than 500 mg was used as the criteria to rule out diabetic nephropathy. Complete hemogram, iron profile and high sensitivity C reactive protein (hs CRP) levels were performed in each patient.Functional iron deficiency (FID) was defined as serum ferritin more than 100 μg/l with serum transferrin less than 20% and total iron deficiency state was defined as serum ferritin less than 100 μg/l.</w:t>
      </w:r>
    </w:p>
    <w:p w14:paraId="54CD9807" w14:textId="77777777" w:rsidR="001B45AC" w:rsidRDefault="001B45AC" w:rsidP="001B45AC">
      <w:pPr>
        <w:pStyle w:val="NormalWeb"/>
        <w:shd w:val="clear" w:color="auto" w:fill="FFFFFF"/>
        <w:rPr>
          <w:rFonts w:ascii="Segoe UI" w:hAnsi="Segoe UI" w:cs="Segoe UI"/>
          <w:color w:val="212121"/>
          <w:sz w:val="24"/>
          <w:szCs w:val="24"/>
        </w:rPr>
      </w:pPr>
      <w:r>
        <w:rPr>
          <w:rStyle w:val="Strong"/>
          <w:rFonts w:ascii="Segoe UI" w:hAnsi="Segoe UI" w:cs="Segoe UI"/>
          <w:color w:val="212121"/>
          <w:sz w:val="24"/>
          <w:szCs w:val="24"/>
        </w:rPr>
        <w:t>Results: </w:t>
      </w:r>
      <w:r>
        <w:rPr>
          <w:rFonts w:ascii="Segoe UI" w:hAnsi="Segoe UI" w:cs="Segoe UI"/>
          <w:color w:val="212121"/>
          <w:sz w:val="24"/>
          <w:szCs w:val="24"/>
        </w:rPr>
        <w:t>Fifteen patients (16.8%)had anaemia out of which 13 had total iron deficiency and one each had functional iron deficiency and normal iron status respectively. Assessment of the iron status overall showed that 49 patients had TID (55.05%), 16 had FID (17.9%)and 24 (27.05%) had normal iron status. The hs-CRP was significantly higher in those with iron deficiency.</w:t>
      </w:r>
    </w:p>
    <w:p w14:paraId="6E4E1C5B" w14:textId="77777777" w:rsidR="001B45AC" w:rsidRDefault="001B45AC" w:rsidP="001B45AC">
      <w:pPr>
        <w:pStyle w:val="NormalWeb"/>
        <w:shd w:val="clear" w:color="auto" w:fill="FFFFFF"/>
        <w:rPr>
          <w:rFonts w:ascii="Segoe UI" w:hAnsi="Segoe UI" w:cs="Segoe UI"/>
          <w:color w:val="212121"/>
          <w:sz w:val="24"/>
          <w:szCs w:val="24"/>
        </w:rPr>
      </w:pPr>
      <w:r>
        <w:rPr>
          <w:rStyle w:val="Strong"/>
          <w:rFonts w:ascii="Segoe UI" w:hAnsi="Segoe UI" w:cs="Segoe UI"/>
          <w:color w:val="212121"/>
          <w:sz w:val="24"/>
          <w:szCs w:val="24"/>
        </w:rPr>
        <w:lastRenderedPageBreak/>
        <w:t>Conclusions: </w:t>
      </w:r>
      <w:r>
        <w:rPr>
          <w:rFonts w:ascii="Segoe UI" w:hAnsi="Segoe UI" w:cs="Segoe UI"/>
          <w:color w:val="212121"/>
          <w:sz w:val="24"/>
          <w:szCs w:val="24"/>
        </w:rPr>
        <w:t>The present study found a high prevalence of iron deficiency anaemia in type 2 diabetic patients even in the absence of nephropathy. Most of the diabetic subjects also displayed an iron deficiency state the cause of which needs further investigation.</w:t>
      </w:r>
    </w:p>
    <w:p w14:paraId="45A2CAC4" w14:textId="77777777" w:rsidR="001B45AC" w:rsidRDefault="001B45AC" w:rsidP="001B45AC">
      <w:pPr>
        <w:pStyle w:val="NormalWeb"/>
        <w:shd w:val="clear" w:color="auto" w:fill="FFFFFF"/>
        <w:rPr>
          <w:rFonts w:ascii="Segoe UI" w:hAnsi="Segoe UI" w:cs="Segoe UI"/>
          <w:color w:val="212121"/>
          <w:sz w:val="24"/>
          <w:szCs w:val="24"/>
        </w:rPr>
      </w:pPr>
      <w:r>
        <w:rPr>
          <w:rStyle w:val="Strong"/>
          <w:rFonts w:ascii="Segoe UI" w:hAnsi="Segoe UI" w:cs="Segoe UI"/>
          <w:color w:val="212121"/>
          <w:sz w:val="24"/>
          <w:szCs w:val="24"/>
        </w:rPr>
        <w:t>Keywords: </w:t>
      </w:r>
      <w:r>
        <w:rPr>
          <w:rFonts w:ascii="Segoe UI" w:hAnsi="Segoe UI" w:cs="Segoe UI"/>
          <w:color w:val="212121"/>
          <w:sz w:val="24"/>
          <w:szCs w:val="24"/>
        </w:rPr>
        <w:t>Anaemia; Iron deficiency; Nephropathy; Type 2 diabetes mellitus.</w:t>
      </w:r>
    </w:p>
    <w:p w14:paraId="114996D9" w14:textId="77777777" w:rsidR="001B45AC" w:rsidRDefault="001B45AC" w:rsidP="001B45AC">
      <w:pPr>
        <w:pStyle w:val="copyright"/>
        <w:shd w:val="clear" w:color="auto" w:fill="FFFFFF"/>
        <w:rPr>
          <w:rFonts w:ascii="Segoe UI" w:hAnsi="Segoe UI" w:cs="Segoe UI"/>
          <w:color w:val="212121"/>
        </w:rPr>
      </w:pPr>
      <w:r>
        <w:rPr>
          <w:rFonts w:ascii="Segoe UI" w:hAnsi="Segoe UI" w:cs="Segoe UI"/>
          <w:color w:val="212121"/>
        </w:rPr>
        <w:t>Copyright © 2020. Published by Elsevier Ltd.</w:t>
      </w:r>
    </w:p>
    <w:p w14:paraId="4F2CCDE9" w14:textId="77777777" w:rsidR="001B45AC" w:rsidRDefault="001B45AC" w:rsidP="001B45AC">
      <w:pPr>
        <w:pStyle w:val="disclaimer"/>
        <w:shd w:val="clear" w:color="auto" w:fill="FFFFFF"/>
        <w:rPr>
          <w:rFonts w:ascii="Segoe UI" w:hAnsi="Segoe UI" w:cs="Segoe UI"/>
          <w:color w:val="212121"/>
        </w:rPr>
      </w:pPr>
      <w:hyperlink r:id="rId18" w:tgtFrame="_blank" w:history="1">
        <w:r>
          <w:rPr>
            <w:rStyle w:val="Hyperlink"/>
            <w:rFonts w:ascii="Segoe UI" w:hAnsi="Segoe UI" w:cs="Segoe UI"/>
            <w:color w:val="0071BC"/>
          </w:rPr>
          <w:t>PubMed Disclaimer</w:t>
        </w:r>
      </w:hyperlink>
    </w:p>
    <w:p w14:paraId="04E43DA3" w14:textId="77777777" w:rsidR="001B45AC" w:rsidRDefault="001B45AC" w:rsidP="001B45AC">
      <w:pPr>
        <w:pStyle w:val="Heading2"/>
        <w:shd w:val="clear" w:color="auto" w:fill="FFFFFF"/>
        <w:rPr>
          <w:rFonts w:ascii="Merriweather" w:hAnsi="Merriweather" w:cs="Segoe UI"/>
          <w:color w:val="212121"/>
        </w:rPr>
      </w:pPr>
      <w:r>
        <w:rPr>
          <w:rFonts w:ascii="Merriweather" w:hAnsi="Merriweather" w:cs="Segoe UI"/>
          <w:color w:val="212121"/>
        </w:rPr>
        <w:t>Conflict of interest statement</w:t>
      </w:r>
    </w:p>
    <w:p w14:paraId="431D4F76" w14:textId="77777777" w:rsidR="001B45AC" w:rsidRDefault="001B45AC" w:rsidP="001B45AC">
      <w:pPr>
        <w:pStyle w:val="NormalWeb"/>
        <w:shd w:val="clear" w:color="auto" w:fill="FFFFFF"/>
        <w:spacing w:before="0" w:beforeAutospacing="0" w:after="0" w:afterAutospacing="0"/>
        <w:rPr>
          <w:rFonts w:ascii="Segoe UI" w:hAnsi="Segoe UI" w:cs="Segoe UI"/>
          <w:color w:val="212121"/>
          <w:sz w:val="24"/>
          <w:szCs w:val="24"/>
        </w:rPr>
      </w:pPr>
      <w:r>
        <w:rPr>
          <w:rFonts w:ascii="Segoe UI" w:hAnsi="Segoe UI" w:cs="Segoe UI"/>
          <w:color w:val="212121"/>
          <w:sz w:val="24"/>
          <w:szCs w:val="24"/>
        </w:rPr>
        <w:t>Declaration of competing interest None.</w:t>
      </w:r>
    </w:p>
    <w:p w14:paraId="2A134F66" w14:textId="77777777" w:rsidR="001B45AC" w:rsidRDefault="001B45AC"/>
    <w:sectPr w:rsidR="001B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53066"/>
    <w:multiLevelType w:val="multilevel"/>
    <w:tmpl w:val="DAC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34190"/>
    <w:multiLevelType w:val="multilevel"/>
    <w:tmpl w:val="DB1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619011">
    <w:abstractNumId w:val="0"/>
  </w:num>
  <w:num w:numId="2" w16cid:durableId="123577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AC"/>
    <w:rsid w:val="001B45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685E"/>
  <w15:chartTrackingRefBased/>
  <w15:docId w15:val="{403F7097-06AF-486F-A540-E8EAB579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AC"/>
    <w:pPr>
      <w:spacing w:after="0" w:line="240" w:lineRule="auto"/>
    </w:pPr>
    <w:rPr>
      <w:rFonts w:ascii="Mangal" w:eastAsia="Times New Roman" w:hAnsi="Mangal" w:cs="Mangal"/>
      <w:kern w:val="0"/>
      <w:sz w:val="20"/>
      <w14:ligatures w14:val="none"/>
    </w:rPr>
  </w:style>
  <w:style w:type="paragraph" w:styleId="Heading1">
    <w:name w:val="heading 1"/>
    <w:basedOn w:val="Normal"/>
    <w:link w:val="Heading1Char"/>
    <w:uiPriority w:val="9"/>
    <w:qFormat/>
    <w:rsid w:val="001B45A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B45A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5AC"/>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1B45AC"/>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1B45AC"/>
    <w:rPr>
      <w:color w:val="0000FF"/>
      <w:u w:val="single"/>
    </w:rPr>
  </w:style>
  <w:style w:type="character" w:customStyle="1" w:styleId="period">
    <w:name w:val="period"/>
    <w:basedOn w:val="DefaultParagraphFont"/>
    <w:rsid w:val="001B45AC"/>
  </w:style>
  <w:style w:type="character" w:customStyle="1" w:styleId="cit">
    <w:name w:val="cit"/>
    <w:basedOn w:val="DefaultParagraphFont"/>
    <w:rsid w:val="001B45AC"/>
  </w:style>
  <w:style w:type="character" w:customStyle="1" w:styleId="citation-doi">
    <w:name w:val="citation-doi"/>
    <w:basedOn w:val="DefaultParagraphFont"/>
    <w:rsid w:val="001B45AC"/>
  </w:style>
  <w:style w:type="character" w:customStyle="1" w:styleId="secondary-date">
    <w:name w:val="secondary-date"/>
    <w:basedOn w:val="DefaultParagraphFont"/>
    <w:rsid w:val="001B45AC"/>
  </w:style>
  <w:style w:type="character" w:customStyle="1" w:styleId="authors-list-item">
    <w:name w:val="authors-list-item"/>
    <w:basedOn w:val="DefaultParagraphFont"/>
    <w:rsid w:val="001B45AC"/>
  </w:style>
  <w:style w:type="character" w:customStyle="1" w:styleId="author-sup-separator">
    <w:name w:val="author-sup-separator"/>
    <w:basedOn w:val="DefaultParagraphFont"/>
    <w:rsid w:val="001B45AC"/>
  </w:style>
  <w:style w:type="character" w:customStyle="1" w:styleId="comma">
    <w:name w:val="comma"/>
    <w:basedOn w:val="DefaultParagraphFont"/>
    <w:rsid w:val="001B45AC"/>
  </w:style>
  <w:style w:type="character" w:customStyle="1" w:styleId="title">
    <w:name w:val="title"/>
    <w:basedOn w:val="DefaultParagraphFont"/>
    <w:rsid w:val="001B45AC"/>
  </w:style>
  <w:style w:type="character" w:customStyle="1" w:styleId="identifier">
    <w:name w:val="identifier"/>
    <w:basedOn w:val="DefaultParagraphFont"/>
    <w:rsid w:val="001B45AC"/>
  </w:style>
  <w:style w:type="character" w:customStyle="1" w:styleId="id-label">
    <w:name w:val="id-label"/>
    <w:basedOn w:val="DefaultParagraphFont"/>
    <w:rsid w:val="001B45AC"/>
  </w:style>
  <w:style w:type="character" w:styleId="Strong">
    <w:name w:val="Strong"/>
    <w:basedOn w:val="DefaultParagraphFont"/>
    <w:uiPriority w:val="22"/>
    <w:qFormat/>
    <w:rsid w:val="001B45AC"/>
    <w:rPr>
      <w:b/>
      <w:bCs/>
    </w:rPr>
  </w:style>
  <w:style w:type="paragraph" w:styleId="NormalWeb">
    <w:name w:val="Normal (Web)"/>
    <w:basedOn w:val="Normal"/>
    <w:uiPriority w:val="99"/>
    <w:semiHidden/>
    <w:unhideWhenUsed/>
    <w:rsid w:val="001B45AC"/>
    <w:pPr>
      <w:spacing w:before="100" w:beforeAutospacing="1" w:after="100" w:afterAutospacing="1"/>
    </w:pPr>
  </w:style>
  <w:style w:type="paragraph" w:customStyle="1" w:styleId="copyright">
    <w:name w:val="copyright"/>
    <w:basedOn w:val="Normal"/>
    <w:rsid w:val="001B45AC"/>
    <w:pPr>
      <w:spacing w:before="100" w:beforeAutospacing="1" w:after="100" w:afterAutospacing="1"/>
    </w:pPr>
  </w:style>
  <w:style w:type="paragraph" w:customStyle="1" w:styleId="disclaimer">
    <w:name w:val="disclaimer"/>
    <w:basedOn w:val="Normal"/>
    <w:rsid w:val="001B45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22704">
      <w:bodyDiv w:val="1"/>
      <w:marLeft w:val="0"/>
      <w:marRight w:val="0"/>
      <w:marTop w:val="0"/>
      <w:marBottom w:val="0"/>
      <w:divBdr>
        <w:top w:val="none" w:sz="0" w:space="0" w:color="auto"/>
        <w:left w:val="none" w:sz="0" w:space="0" w:color="auto"/>
        <w:bottom w:val="none" w:sz="0" w:space="0" w:color="auto"/>
        <w:right w:val="none" w:sz="0" w:space="0" w:color="auto"/>
      </w:divBdr>
      <w:divsChild>
        <w:div w:id="2085910224">
          <w:marLeft w:val="0"/>
          <w:marRight w:val="0"/>
          <w:marTop w:val="0"/>
          <w:marBottom w:val="0"/>
          <w:divBdr>
            <w:top w:val="none" w:sz="0" w:space="0" w:color="auto"/>
            <w:left w:val="none" w:sz="0" w:space="0" w:color="auto"/>
            <w:bottom w:val="none" w:sz="0" w:space="0" w:color="auto"/>
            <w:right w:val="none" w:sz="0" w:space="0" w:color="auto"/>
          </w:divBdr>
          <w:divsChild>
            <w:div w:id="1014653621">
              <w:marLeft w:val="0"/>
              <w:marRight w:val="0"/>
              <w:marTop w:val="0"/>
              <w:marBottom w:val="0"/>
              <w:divBdr>
                <w:top w:val="none" w:sz="0" w:space="0" w:color="auto"/>
                <w:left w:val="none" w:sz="0" w:space="0" w:color="auto"/>
                <w:bottom w:val="none" w:sz="0" w:space="0" w:color="auto"/>
                <w:right w:val="none" w:sz="0" w:space="0" w:color="auto"/>
              </w:divBdr>
              <w:divsChild>
                <w:div w:id="111830021">
                  <w:marLeft w:val="0"/>
                  <w:marRight w:val="0"/>
                  <w:marTop w:val="0"/>
                  <w:marBottom w:val="0"/>
                  <w:divBdr>
                    <w:top w:val="none" w:sz="0" w:space="0" w:color="auto"/>
                    <w:left w:val="none" w:sz="0" w:space="0" w:color="auto"/>
                    <w:bottom w:val="none" w:sz="0" w:space="0" w:color="auto"/>
                    <w:right w:val="none" w:sz="0" w:space="0" w:color="auto"/>
                  </w:divBdr>
                  <w:divsChild>
                    <w:div w:id="280646742">
                      <w:marLeft w:val="0"/>
                      <w:marRight w:val="0"/>
                      <w:marTop w:val="0"/>
                      <w:marBottom w:val="0"/>
                      <w:divBdr>
                        <w:top w:val="none" w:sz="0" w:space="0" w:color="auto"/>
                        <w:left w:val="none" w:sz="0" w:space="0" w:color="auto"/>
                        <w:bottom w:val="none" w:sz="0" w:space="0" w:color="auto"/>
                        <w:right w:val="none" w:sz="0" w:space="0" w:color="auto"/>
                      </w:divBdr>
                      <w:divsChild>
                        <w:div w:id="20581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6911">
              <w:marLeft w:val="0"/>
              <w:marRight w:val="0"/>
              <w:marTop w:val="0"/>
              <w:marBottom w:val="0"/>
              <w:divBdr>
                <w:top w:val="none" w:sz="0" w:space="0" w:color="auto"/>
                <w:left w:val="none" w:sz="0" w:space="0" w:color="auto"/>
                <w:bottom w:val="none" w:sz="0" w:space="0" w:color="auto"/>
                <w:right w:val="none" w:sz="0" w:space="0" w:color="auto"/>
              </w:divBdr>
              <w:divsChild>
                <w:div w:id="942807331">
                  <w:marLeft w:val="0"/>
                  <w:marRight w:val="0"/>
                  <w:marTop w:val="0"/>
                  <w:marBottom w:val="0"/>
                  <w:divBdr>
                    <w:top w:val="none" w:sz="0" w:space="0" w:color="auto"/>
                    <w:left w:val="none" w:sz="0" w:space="0" w:color="auto"/>
                    <w:bottom w:val="none" w:sz="0" w:space="0" w:color="auto"/>
                    <w:right w:val="none" w:sz="0" w:space="0" w:color="auto"/>
                  </w:divBdr>
                  <w:divsChild>
                    <w:div w:id="16225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759">
              <w:marLeft w:val="0"/>
              <w:marRight w:val="0"/>
              <w:marTop w:val="0"/>
              <w:marBottom w:val="0"/>
              <w:divBdr>
                <w:top w:val="none" w:sz="0" w:space="0" w:color="auto"/>
                <w:left w:val="none" w:sz="0" w:space="0" w:color="auto"/>
                <w:bottom w:val="none" w:sz="0" w:space="0" w:color="auto"/>
                <w:right w:val="none" w:sz="0" w:space="0" w:color="auto"/>
              </w:divBdr>
            </w:div>
          </w:divsChild>
        </w:div>
        <w:div w:id="1151560863">
          <w:marLeft w:val="0"/>
          <w:marRight w:val="0"/>
          <w:marTop w:val="0"/>
          <w:marBottom w:val="0"/>
          <w:divBdr>
            <w:top w:val="none" w:sz="0" w:space="0" w:color="auto"/>
            <w:left w:val="none" w:sz="0" w:space="0" w:color="auto"/>
            <w:bottom w:val="none" w:sz="0" w:space="0" w:color="auto"/>
            <w:right w:val="none" w:sz="0" w:space="0" w:color="auto"/>
          </w:divBdr>
          <w:divsChild>
            <w:div w:id="1061909240">
              <w:marLeft w:val="0"/>
              <w:marRight w:val="0"/>
              <w:marTop w:val="0"/>
              <w:marBottom w:val="0"/>
              <w:divBdr>
                <w:top w:val="none" w:sz="0" w:space="0" w:color="auto"/>
                <w:left w:val="none" w:sz="0" w:space="0" w:color="auto"/>
                <w:bottom w:val="none" w:sz="0" w:space="0" w:color="auto"/>
                <w:right w:val="none" w:sz="0" w:space="0" w:color="auto"/>
              </w:divBdr>
            </w:div>
          </w:divsChild>
        </w:div>
        <w:div w:id="1946185811">
          <w:marLeft w:val="0"/>
          <w:marRight w:val="0"/>
          <w:marTop w:val="0"/>
          <w:marBottom w:val="0"/>
          <w:divBdr>
            <w:top w:val="none" w:sz="0" w:space="0" w:color="auto"/>
            <w:left w:val="none" w:sz="0" w:space="0" w:color="auto"/>
            <w:bottom w:val="none" w:sz="0" w:space="0" w:color="auto"/>
            <w:right w:val="none" w:sz="0" w:space="0" w:color="auto"/>
          </w:divBdr>
          <w:divsChild>
            <w:div w:id="8061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2961516/" TargetMode="External"/><Relationship Id="rId13" Type="http://schemas.openxmlformats.org/officeDocument/2006/relationships/hyperlink" Target="https://pubmed.ncbi.nlm.nih.gov/?term=Narang+S&amp;cauthor_id=32961516" TargetMode="External"/><Relationship Id="rId18" Type="http://schemas.openxmlformats.org/officeDocument/2006/relationships/hyperlink" Target="https://pubmed.ncbi.nlm.nih.gov/disclaimer/" TargetMode="External"/><Relationship Id="rId3" Type="http://schemas.openxmlformats.org/officeDocument/2006/relationships/settings" Target="settings.xml"/><Relationship Id="rId7" Type="http://schemas.openxmlformats.org/officeDocument/2006/relationships/hyperlink" Target="https://pubmed.ncbi.nlm.nih.gov/?term=Jain+N&amp;cauthor_id=32961516" TargetMode="External"/><Relationship Id="rId12" Type="http://schemas.openxmlformats.org/officeDocument/2006/relationships/hyperlink" Target="https://pubmed.ncbi.nlm.nih.gov/32961516/" TargetMode="External"/><Relationship Id="rId17" Type="http://schemas.openxmlformats.org/officeDocument/2006/relationships/hyperlink" Target="https://doi.org/10.1016/j.dsx.2020.09.020" TargetMode="External"/><Relationship Id="rId2" Type="http://schemas.openxmlformats.org/officeDocument/2006/relationships/styles" Target="styles.xml"/><Relationship Id="rId16" Type="http://schemas.openxmlformats.org/officeDocument/2006/relationships/hyperlink" Target="https://pubmed.ncbi.nlm.nih.gov/3296151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32961516/" TargetMode="External"/><Relationship Id="rId11" Type="http://schemas.openxmlformats.org/officeDocument/2006/relationships/hyperlink" Target="https://pubmed.ncbi.nlm.nih.gov/?term=Sharma+S&amp;cauthor_id=32961516" TargetMode="External"/><Relationship Id="rId5" Type="http://schemas.openxmlformats.org/officeDocument/2006/relationships/hyperlink" Target="https://pubmed.ncbi.nlm.nih.gov/?term=Praveen+M&amp;cauthor_id=32961516" TargetMode="External"/><Relationship Id="rId15" Type="http://schemas.openxmlformats.org/officeDocument/2006/relationships/hyperlink" Target="https://pubmed.ncbi.nlm.nih.gov/?term=Madhu+SV&amp;cauthor_id=32961516" TargetMode="External"/><Relationship Id="rId10" Type="http://schemas.openxmlformats.org/officeDocument/2006/relationships/hyperlink" Target="https://pubmed.ncbi.nlm.nih.gov/329615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term=Raizada+N&amp;cauthor_id=32961516" TargetMode="External"/><Relationship Id="rId14" Type="http://schemas.openxmlformats.org/officeDocument/2006/relationships/hyperlink" Target="https://pubmed.ncbi.nlm.nih.gov/32961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2024-02-19T08:24:00Z</dcterms:created>
  <dcterms:modified xsi:type="dcterms:W3CDTF">2024-02-19T08:25:00Z</dcterms:modified>
</cp:coreProperties>
</file>