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3FCC0" w14:textId="77777777" w:rsidR="00D65E6B" w:rsidRPr="00D65E6B" w:rsidRDefault="00D65E6B" w:rsidP="00D65E6B">
      <w:pPr>
        <w:spacing w:after="0" w:line="240" w:lineRule="auto"/>
        <w:rPr>
          <w:rFonts w:ascii="Mangal" w:eastAsia="Times New Roman" w:hAnsi="Mangal" w:cs="Mangal"/>
          <w:color w:val="5B616B"/>
          <w:kern w:val="0"/>
          <w:sz w:val="20"/>
          <w14:ligatures w14:val="none"/>
        </w:rPr>
      </w:pPr>
      <w:r w:rsidRPr="00D65E6B">
        <w:rPr>
          <w:rFonts w:ascii="Mangal" w:eastAsia="Times New Roman" w:hAnsi="Mangal" w:cs="Mangal"/>
          <w:color w:val="5B616B"/>
          <w:kern w:val="0"/>
          <w:sz w:val="20"/>
          <w14:ligatures w14:val="none"/>
        </w:rPr>
        <w:t>Eur J Nutr</w:t>
      </w:r>
    </w:p>
    <w:p w14:paraId="42E41A0E" w14:textId="77777777" w:rsidR="00D65E6B" w:rsidRPr="00D65E6B" w:rsidRDefault="00D65E6B" w:rsidP="00D65E6B">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43C86FCA" w14:textId="77777777" w:rsidR="00D65E6B" w:rsidRPr="00D65E6B" w:rsidRDefault="00D65E6B" w:rsidP="00D65E6B">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7B757704" w14:textId="77777777" w:rsidR="00D65E6B" w:rsidRPr="00D65E6B" w:rsidRDefault="00D65E6B" w:rsidP="00D65E6B">
      <w:pPr>
        <w:numPr>
          <w:ilvl w:val="0"/>
          <w:numId w:val="1"/>
        </w:numPr>
        <w:shd w:val="clear" w:color="auto" w:fill="FFFFFF"/>
        <w:spacing w:after="0" w:line="240" w:lineRule="auto"/>
        <w:rPr>
          <w:rFonts w:ascii="Mangal" w:eastAsia="Times New Roman" w:hAnsi="Mangal" w:cs="Mangal"/>
          <w:color w:val="5B616B"/>
          <w:kern w:val="0"/>
          <w:sz w:val="20"/>
          <w14:ligatures w14:val="none"/>
        </w:rPr>
      </w:pPr>
    </w:p>
    <w:p w14:paraId="6463BE1A" w14:textId="77777777" w:rsidR="00D65E6B" w:rsidRPr="00D65E6B" w:rsidRDefault="00D65E6B" w:rsidP="00D65E6B">
      <w:pPr>
        <w:spacing w:after="0" w:line="240" w:lineRule="auto"/>
        <w:rPr>
          <w:rFonts w:ascii="Mangal" w:eastAsia="Times New Roman" w:hAnsi="Mangal" w:cs="Mangal"/>
          <w:color w:val="5B616B"/>
          <w:kern w:val="0"/>
          <w:sz w:val="20"/>
          <w14:ligatures w14:val="none"/>
        </w:rPr>
      </w:pPr>
      <w:r w:rsidRPr="00D65E6B">
        <w:rPr>
          <w:rFonts w:ascii="Mangal" w:eastAsia="Times New Roman" w:hAnsi="Mangal" w:cs="Mangal"/>
          <w:color w:val="0071BC"/>
          <w:kern w:val="0"/>
          <w:sz w:val="20"/>
          <w14:ligatures w14:val="none"/>
        </w:rPr>
        <w:t>. </w:t>
      </w:r>
      <w:r w:rsidRPr="00D65E6B">
        <w:rPr>
          <w:rFonts w:ascii="Mangal" w:eastAsia="Times New Roman" w:hAnsi="Mangal" w:cs="Mangal"/>
          <w:color w:val="5B616B"/>
          <w:kern w:val="0"/>
          <w:sz w:val="20"/>
          <w14:ligatures w14:val="none"/>
        </w:rPr>
        <w:t>2019 Dec;58(8):3147-3159.</w:t>
      </w:r>
    </w:p>
    <w:p w14:paraId="6180C9C7" w14:textId="77777777" w:rsidR="00D65E6B" w:rsidRPr="00D65E6B" w:rsidRDefault="00D65E6B" w:rsidP="00D65E6B">
      <w:pPr>
        <w:spacing w:after="0" w:line="240" w:lineRule="auto"/>
        <w:rPr>
          <w:rFonts w:ascii="Mangal" w:eastAsia="Times New Roman" w:hAnsi="Mangal" w:cs="Mangal"/>
          <w:kern w:val="0"/>
          <w:sz w:val="20"/>
          <w14:ligatures w14:val="none"/>
        </w:rPr>
      </w:pPr>
      <w:r w:rsidRPr="00D65E6B">
        <w:rPr>
          <w:rFonts w:ascii="Mangal" w:eastAsia="Times New Roman" w:hAnsi="Mangal" w:cs="Mangal"/>
          <w:kern w:val="0"/>
          <w:sz w:val="20"/>
          <w14:ligatures w14:val="none"/>
        </w:rPr>
        <w:t> </w:t>
      </w:r>
      <w:r w:rsidRPr="00D65E6B">
        <w:rPr>
          <w:rFonts w:ascii="Mangal" w:eastAsia="Times New Roman" w:hAnsi="Mangal" w:cs="Mangal"/>
          <w:color w:val="5B616B"/>
          <w:kern w:val="0"/>
          <w:sz w:val="20"/>
          <w14:ligatures w14:val="none"/>
        </w:rPr>
        <w:t>doi: 10.1007/s00394-018-1859-y.</w:t>
      </w:r>
      <w:r w:rsidRPr="00D65E6B">
        <w:rPr>
          <w:rFonts w:ascii="Mangal" w:eastAsia="Times New Roman" w:hAnsi="Mangal" w:cs="Mangal"/>
          <w:kern w:val="0"/>
          <w:sz w:val="20"/>
          <w14:ligatures w14:val="none"/>
        </w:rPr>
        <w:t> </w:t>
      </w:r>
      <w:r w:rsidRPr="00D65E6B">
        <w:rPr>
          <w:rFonts w:ascii="Mangal" w:eastAsia="Times New Roman" w:hAnsi="Mangal" w:cs="Mangal"/>
          <w:color w:val="5B616B"/>
          <w:kern w:val="0"/>
          <w:sz w:val="20"/>
          <w14:ligatures w14:val="none"/>
        </w:rPr>
        <w:t>Epub 2018 Dec 3.</w:t>
      </w:r>
    </w:p>
    <w:p w14:paraId="24C9CB6F" w14:textId="77777777" w:rsidR="00D65E6B" w:rsidRPr="00D65E6B" w:rsidRDefault="00D65E6B" w:rsidP="00D65E6B">
      <w:pPr>
        <w:spacing w:before="100" w:beforeAutospacing="1" w:after="100" w:afterAutospacing="1" w:line="240" w:lineRule="auto"/>
        <w:outlineLvl w:val="0"/>
        <w:rPr>
          <w:rFonts w:ascii="Merriweather" w:eastAsia="Times New Roman" w:hAnsi="Merriweather" w:cs="Mangal"/>
          <w:b/>
          <w:bCs/>
          <w:kern w:val="36"/>
          <w:sz w:val="48"/>
          <w:szCs w:val="48"/>
          <w14:ligatures w14:val="none"/>
        </w:rPr>
      </w:pPr>
      <w:r w:rsidRPr="00D65E6B">
        <w:rPr>
          <w:rFonts w:ascii="Merriweather" w:eastAsia="Times New Roman" w:hAnsi="Merriweather" w:cs="Mangal"/>
          <w:b/>
          <w:bCs/>
          <w:kern w:val="36"/>
          <w:sz w:val="48"/>
          <w:szCs w:val="48"/>
          <w14:ligatures w14:val="none"/>
        </w:rPr>
        <w:t>Micronutrient intakes and status assessed by probability approach among the urban adult population of Hyderabad city in South India</w:t>
      </w:r>
    </w:p>
    <w:p w14:paraId="6C8E29A1" w14:textId="77777777" w:rsidR="00D65E6B" w:rsidRPr="00D65E6B" w:rsidRDefault="00D65E6B" w:rsidP="00D65E6B">
      <w:pPr>
        <w:spacing w:after="0" w:line="240" w:lineRule="auto"/>
        <w:rPr>
          <w:rFonts w:ascii="Mangal" w:eastAsia="Times New Roman" w:hAnsi="Mangal" w:cs="Mangal"/>
          <w:color w:val="5B616B"/>
          <w:kern w:val="0"/>
          <w:sz w:val="20"/>
          <w14:ligatures w14:val="none"/>
        </w:rPr>
      </w:pPr>
      <w:hyperlink r:id="rId5" w:history="1">
        <w:r w:rsidRPr="00D65E6B">
          <w:rPr>
            <w:rFonts w:ascii="Mangal" w:eastAsia="Times New Roman" w:hAnsi="Mangal" w:cs="Mangal"/>
            <w:color w:val="0071BC"/>
            <w:kern w:val="0"/>
            <w:sz w:val="20"/>
            <w:u w:val="single"/>
            <w14:ligatures w14:val="none"/>
          </w:rPr>
          <w:t>Tattari Shalini</w:t>
        </w:r>
      </w:hyperlink>
      <w:r w:rsidRPr="00D65E6B">
        <w:rPr>
          <w:rFonts w:ascii="Mangal" w:eastAsia="Times New Roman" w:hAnsi="Mangal" w:cs="Mangal"/>
          <w:color w:val="5B616B"/>
          <w:kern w:val="0"/>
          <w:sz w:val="18"/>
          <w:szCs w:val="18"/>
          <w:vertAlign w:val="superscript"/>
          <w14:ligatures w14:val="none"/>
        </w:rPr>
        <w:t> </w:t>
      </w:r>
      <w:hyperlink r:id="rId6" w:anchor="full-view-affiliation-1" w:tooltip="Biochemistry, National Institute of Nutrition, Jamai-Osmania, Tarnaka, Hyderabad, 500 007, India." w:history="1">
        <w:r w:rsidRPr="00D65E6B">
          <w:rPr>
            <w:rFonts w:ascii="Mangal" w:eastAsia="Times New Roman" w:hAnsi="Mangal" w:cs="Mangal"/>
            <w:color w:val="323A45"/>
            <w:kern w:val="0"/>
            <w:sz w:val="18"/>
            <w:szCs w:val="18"/>
            <w:u w:val="single"/>
            <w:shd w:val="clear" w:color="auto" w:fill="F1F1F1"/>
            <w:vertAlign w:val="superscript"/>
            <w14:ligatures w14:val="none"/>
          </w:rPr>
          <w:t>1</w:t>
        </w:r>
      </w:hyperlink>
      <w:r w:rsidRPr="00D65E6B">
        <w:rPr>
          <w:rFonts w:ascii="Mangal" w:eastAsia="Times New Roman" w:hAnsi="Mangal" w:cs="Mangal"/>
          <w:color w:val="5B616B"/>
          <w:kern w:val="0"/>
          <w:sz w:val="20"/>
          <w14:ligatures w14:val="none"/>
        </w:rPr>
        <w:t>, </w:t>
      </w:r>
      <w:hyperlink r:id="rId7" w:history="1">
        <w:r w:rsidRPr="00D65E6B">
          <w:rPr>
            <w:rFonts w:ascii="Mangal" w:eastAsia="Times New Roman" w:hAnsi="Mangal" w:cs="Mangal"/>
            <w:color w:val="0071BC"/>
            <w:kern w:val="0"/>
            <w:sz w:val="20"/>
            <w:u w:val="single"/>
            <w14:ligatures w14:val="none"/>
          </w:rPr>
          <w:t>Mudili Sivaprasad</w:t>
        </w:r>
      </w:hyperlink>
      <w:r w:rsidRPr="00D65E6B">
        <w:rPr>
          <w:rFonts w:ascii="Mangal" w:eastAsia="Times New Roman" w:hAnsi="Mangal" w:cs="Mangal"/>
          <w:color w:val="5B616B"/>
          <w:kern w:val="0"/>
          <w:sz w:val="18"/>
          <w:szCs w:val="18"/>
          <w:vertAlign w:val="superscript"/>
          <w14:ligatures w14:val="none"/>
        </w:rPr>
        <w:t> </w:t>
      </w:r>
      <w:hyperlink r:id="rId8" w:anchor="full-view-affiliation-1" w:tooltip="Biochemistry, National Institute of Nutrition, Jamai-Osmania, Tarnaka, Hyderabad, 500 007, India." w:history="1">
        <w:r w:rsidRPr="00D65E6B">
          <w:rPr>
            <w:rFonts w:ascii="Mangal" w:eastAsia="Times New Roman" w:hAnsi="Mangal" w:cs="Mangal"/>
            <w:color w:val="323A45"/>
            <w:kern w:val="0"/>
            <w:sz w:val="18"/>
            <w:szCs w:val="18"/>
            <w:u w:val="single"/>
            <w:shd w:val="clear" w:color="auto" w:fill="F1F1F1"/>
            <w:vertAlign w:val="superscript"/>
            <w14:ligatures w14:val="none"/>
          </w:rPr>
          <w:t>1</w:t>
        </w:r>
      </w:hyperlink>
      <w:r w:rsidRPr="00D65E6B">
        <w:rPr>
          <w:rFonts w:ascii="Mangal" w:eastAsia="Times New Roman" w:hAnsi="Mangal" w:cs="Mangal"/>
          <w:color w:val="5B616B"/>
          <w:kern w:val="0"/>
          <w:sz w:val="20"/>
          <w14:ligatures w14:val="none"/>
        </w:rPr>
        <w:t>, </w:t>
      </w:r>
      <w:hyperlink r:id="rId9" w:history="1">
        <w:r w:rsidRPr="00D65E6B">
          <w:rPr>
            <w:rFonts w:ascii="Mangal" w:eastAsia="Times New Roman" w:hAnsi="Mangal" w:cs="Mangal"/>
            <w:color w:val="0071BC"/>
            <w:kern w:val="0"/>
            <w:sz w:val="20"/>
            <w:u w:val="single"/>
            <w14:ligatures w14:val="none"/>
          </w:rPr>
          <w:t>Nagalla Balakrishna</w:t>
        </w:r>
      </w:hyperlink>
      <w:r w:rsidRPr="00D65E6B">
        <w:rPr>
          <w:rFonts w:ascii="Mangal" w:eastAsia="Times New Roman" w:hAnsi="Mangal" w:cs="Mangal"/>
          <w:color w:val="5B616B"/>
          <w:kern w:val="0"/>
          <w:sz w:val="18"/>
          <w:szCs w:val="18"/>
          <w:vertAlign w:val="superscript"/>
          <w14:ligatures w14:val="none"/>
        </w:rPr>
        <w:t> </w:t>
      </w:r>
      <w:hyperlink r:id="rId10" w:anchor="full-view-affiliation-2" w:tooltip="Statistics, National Institute of Nutrition, Hyderabad, India." w:history="1">
        <w:r w:rsidRPr="00D65E6B">
          <w:rPr>
            <w:rFonts w:ascii="Mangal" w:eastAsia="Times New Roman" w:hAnsi="Mangal" w:cs="Mangal"/>
            <w:color w:val="323A45"/>
            <w:kern w:val="0"/>
            <w:sz w:val="18"/>
            <w:szCs w:val="18"/>
            <w:u w:val="single"/>
            <w:shd w:val="clear" w:color="auto" w:fill="F1F1F1"/>
            <w:vertAlign w:val="superscript"/>
            <w14:ligatures w14:val="none"/>
          </w:rPr>
          <w:t>2</w:t>
        </w:r>
      </w:hyperlink>
      <w:r w:rsidRPr="00D65E6B">
        <w:rPr>
          <w:rFonts w:ascii="Mangal" w:eastAsia="Times New Roman" w:hAnsi="Mangal" w:cs="Mangal"/>
          <w:color w:val="5B616B"/>
          <w:kern w:val="0"/>
          <w:sz w:val="20"/>
          <w14:ligatures w14:val="none"/>
        </w:rPr>
        <w:t>, </w:t>
      </w:r>
      <w:hyperlink r:id="rId11" w:history="1">
        <w:r w:rsidRPr="00D65E6B">
          <w:rPr>
            <w:rFonts w:ascii="Mangal" w:eastAsia="Times New Roman" w:hAnsi="Mangal" w:cs="Mangal"/>
            <w:color w:val="0071BC"/>
            <w:kern w:val="0"/>
            <w:sz w:val="20"/>
            <w:u w:val="single"/>
            <w14:ligatures w14:val="none"/>
          </w:rPr>
          <w:t>Gangupanthulu Madhavi</w:t>
        </w:r>
      </w:hyperlink>
      <w:r w:rsidRPr="00D65E6B">
        <w:rPr>
          <w:rFonts w:ascii="Mangal" w:eastAsia="Times New Roman" w:hAnsi="Mangal" w:cs="Mangal"/>
          <w:color w:val="5B616B"/>
          <w:kern w:val="0"/>
          <w:sz w:val="18"/>
          <w:szCs w:val="18"/>
          <w:vertAlign w:val="superscript"/>
          <w14:ligatures w14:val="none"/>
        </w:rPr>
        <w:t> </w:t>
      </w:r>
      <w:hyperlink r:id="rId12" w:anchor="full-view-affiliation-3" w:tooltip="Community Studies, National Institute of Nutrition, Hyderabad, India." w:history="1">
        <w:r w:rsidRPr="00D65E6B">
          <w:rPr>
            <w:rFonts w:ascii="Mangal" w:eastAsia="Times New Roman" w:hAnsi="Mangal" w:cs="Mangal"/>
            <w:color w:val="323A45"/>
            <w:kern w:val="0"/>
            <w:sz w:val="18"/>
            <w:szCs w:val="18"/>
            <w:u w:val="single"/>
            <w:shd w:val="clear" w:color="auto" w:fill="F1F1F1"/>
            <w:vertAlign w:val="superscript"/>
            <w14:ligatures w14:val="none"/>
          </w:rPr>
          <w:t>3</w:t>
        </w:r>
      </w:hyperlink>
      <w:r w:rsidRPr="00D65E6B">
        <w:rPr>
          <w:rFonts w:ascii="Mangal" w:eastAsia="Times New Roman" w:hAnsi="Mangal" w:cs="Mangal"/>
          <w:color w:val="5B616B"/>
          <w:kern w:val="0"/>
          <w:sz w:val="20"/>
          <w14:ligatures w14:val="none"/>
        </w:rPr>
        <w:t>, </w:t>
      </w:r>
      <w:hyperlink r:id="rId13" w:history="1">
        <w:r w:rsidRPr="00D65E6B">
          <w:rPr>
            <w:rFonts w:ascii="Mangal" w:eastAsia="Times New Roman" w:hAnsi="Mangal" w:cs="Mangal"/>
            <w:color w:val="0071BC"/>
            <w:kern w:val="0"/>
            <w:sz w:val="20"/>
            <w:u w:val="single"/>
            <w14:ligatures w14:val="none"/>
          </w:rPr>
          <w:t>Madhari S Radhika</w:t>
        </w:r>
      </w:hyperlink>
      <w:r w:rsidRPr="00D65E6B">
        <w:rPr>
          <w:rFonts w:ascii="Mangal" w:eastAsia="Times New Roman" w:hAnsi="Mangal" w:cs="Mangal"/>
          <w:color w:val="5B616B"/>
          <w:kern w:val="0"/>
          <w:sz w:val="18"/>
          <w:szCs w:val="18"/>
          <w:vertAlign w:val="superscript"/>
          <w14:ligatures w14:val="none"/>
        </w:rPr>
        <w:t> </w:t>
      </w:r>
      <w:hyperlink r:id="rId14" w:anchor="full-view-affiliation-3" w:tooltip="Community Studies, National Institute of Nutrition, Hyderabad, India." w:history="1">
        <w:r w:rsidRPr="00D65E6B">
          <w:rPr>
            <w:rFonts w:ascii="Mangal" w:eastAsia="Times New Roman" w:hAnsi="Mangal" w:cs="Mangal"/>
            <w:color w:val="323A45"/>
            <w:kern w:val="0"/>
            <w:sz w:val="18"/>
            <w:szCs w:val="18"/>
            <w:u w:val="single"/>
            <w:shd w:val="clear" w:color="auto" w:fill="F1F1F1"/>
            <w:vertAlign w:val="superscript"/>
            <w14:ligatures w14:val="none"/>
          </w:rPr>
          <w:t>3</w:t>
        </w:r>
      </w:hyperlink>
      <w:r w:rsidRPr="00D65E6B">
        <w:rPr>
          <w:rFonts w:ascii="Mangal" w:eastAsia="Times New Roman" w:hAnsi="Mangal" w:cs="Mangal"/>
          <w:color w:val="5B616B"/>
          <w:kern w:val="0"/>
          <w:sz w:val="20"/>
          <w14:ligatures w14:val="none"/>
        </w:rPr>
        <w:t>, </w:t>
      </w:r>
      <w:hyperlink r:id="rId15" w:history="1">
        <w:r w:rsidRPr="00D65E6B">
          <w:rPr>
            <w:rFonts w:ascii="Mangal" w:eastAsia="Times New Roman" w:hAnsi="Mangal" w:cs="Mangal"/>
            <w:color w:val="0071BC"/>
            <w:kern w:val="0"/>
            <w:sz w:val="20"/>
            <w:u w:val="single"/>
            <w14:ligatures w14:val="none"/>
          </w:rPr>
          <w:t>Boiroju Naveen Kumar</w:t>
        </w:r>
      </w:hyperlink>
      <w:r w:rsidRPr="00D65E6B">
        <w:rPr>
          <w:rFonts w:ascii="Mangal" w:eastAsia="Times New Roman" w:hAnsi="Mangal" w:cs="Mangal"/>
          <w:color w:val="5B616B"/>
          <w:kern w:val="0"/>
          <w:sz w:val="18"/>
          <w:szCs w:val="18"/>
          <w:vertAlign w:val="superscript"/>
          <w14:ligatures w14:val="none"/>
        </w:rPr>
        <w:t> </w:t>
      </w:r>
      <w:hyperlink r:id="rId16" w:anchor="full-view-affiliation-2" w:tooltip="Statistics, National Institute of Nutrition, Hyderabad, India." w:history="1">
        <w:r w:rsidRPr="00D65E6B">
          <w:rPr>
            <w:rFonts w:ascii="Mangal" w:eastAsia="Times New Roman" w:hAnsi="Mangal" w:cs="Mangal"/>
            <w:color w:val="323A45"/>
            <w:kern w:val="0"/>
            <w:sz w:val="18"/>
            <w:szCs w:val="18"/>
            <w:u w:val="single"/>
            <w:shd w:val="clear" w:color="auto" w:fill="F1F1F1"/>
            <w:vertAlign w:val="superscript"/>
            <w14:ligatures w14:val="none"/>
          </w:rPr>
          <w:t>2</w:t>
        </w:r>
      </w:hyperlink>
      <w:r w:rsidRPr="00D65E6B">
        <w:rPr>
          <w:rFonts w:ascii="Mangal" w:eastAsia="Times New Roman" w:hAnsi="Mangal" w:cs="Mangal"/>
          <w:color w:val="5B616B"/>
          <w:kern w:val="0"/>
          <w:sz w:val="20"/>
          <w14:ligatures w14:val="none"/>
        </w:rPr>
        <w:t>, </w:t>
      </w:r>
      <w:hyperlink r:id="rId17" w:history="1">
        <w:r w:rsidRPr="00D65E6B">
          <w:rPr>
            <w:rFonts w:ascii="Mangal" w:eastAsia="Times New Roman" w:hAnsi="Mangal" w:cs="Mangal"/>
            <w:color w:val="0071BC"/>
            <w:kern w:val="0"/>
            <w:sz w:val="20"/>
            <w:u w:val="single"/>
            <w14:ligatures w14:val="none"/>
          </w:rPr>
          <w:t>Raghu Pullakhandam</w:t>
        </w:r>
      </w:hyperlink>
      <w:r w:rsidRPr="00D65E6B">
        <w:rPr>
          <w:rFonts w:ascii="Mangal" w:eastAsia="Times New Roman" w:hAnsi="Mangal" w:cs="Mangal"/>
          <w:color w:val="5B616B"/>
          <w:kern w:val="0"/>
          <w:sz w:val="18"/>
          <w:szCs w:val="18"/>
          <w:vertAlign w:val="superscript"/>
          <w14:ligatures w14:val="none"/>
        </w:rPr>
        <w:t> </w:t>
      </w:r>
      <w:hyperlink r:id="rId18" w:anchor="full-view-affiliation-1" w:tooltip="Biochemistry, National Institute of Nutrition, Jamai-Osmania, Tarnaka, Hyderabad, 500 007, India." w:history="1">
        <w:r w:rsidRPr="00D65E6B">
          <w:rPr>
            <w:rFonts w:ascii="Mangal" w:eastAsia="Times New Roman" w:hAnsi="Mangal" w:cs="Mangal"/>
            <w:color w:val="323A45"/>
            <w:kern w:val="0"/>
            <w:sz w:val="18"/>
            <w:szCs w:val="18"/>
            <w:u w:val="single"/>
            <w:shd w:val="clear" w:color="auto" w:fill="F1F1F1"/>
            <w:vertAlign w:val="superscript"/>
            <w14:ligatures w14:val="none"/>
          </w:rPr>
          <w:t>1</w:t>
        </w:r>
      </w:hyperlink>
      <w:r w:rsidRPr="00D65E6B">
        <w:rPr>
          <w:rFonts w:ascii="Mangal" w:eastAsia="Times New Roman" w:hAnsi="Mangal" w:cs="Mangal"/>
          <w:color w:val="5B616B"/>
          <w:kern w:val="0"/>
          <w:sz w:val="20"/>
          <w14:ligatures w14:val="none"/>
        </w:rPr>
        <w:t>, </w:t>
      </w:r>
      <w:hyperlink r:id="rId19" w:history="1">
        <w:r w:rsidRPr="00D65E6B">
          <w:rPr>
            <w:rFonts w:ascii="Mangal" w:eastAsia="Times New Roman" w:hAnsi="Mangal" w:cs="Mangal"/>
            <w:color w:val="0071BC"/>
            <w:kern w:val="0"/>
            <w:sz w:val="20"/>
            <w:u w:val="single"/>
            <w14:ligatures w14:val="none"/>
          </w:rPr>
          <w:t>Geereddy Bhanuprakash Reddy</w:t>
        </w:r>
      </w:hyperlink>
      <w:r w:rsidRPr="00D65E6B">
        <w:rPr>
          <w:rFonts w:ascii="Mangal" w:eastAsia="Times New Roman" w:hAnsi="Mangal" w:cs="Mangal"/>
          <w:color w:val="5B616B"/>
          <w:kern w:val="0"/>
          <w:sz w:val="18"/>
          <w:szCs w:val="18"/>
          <w:vertAlign w:val="superscript"/>
          <w14:ligatures w14:val="none"/>
        </w:rPr>
        <w:t> </w:t>
      </w:r>
      <w:hyperlink r:id="rId20" w:anchor="full-view-affiliation-4" w:tooltip="Biochemistry, National Institute of Nutrition, Jamai-Osmania, Tarnaka, Hyderabad, 500 007, India. bhanu@ninindia.org." w:history="1">
        <w:r w:rsidRPr="00D65E6B">
          <w:rPr>
            <w:rFonts w:ascii="Mangal" w:eastAsia="Times New Roman" w:hAnsi="Mangal" w:cs="Mangal"/>
            <w:color w:val="323A45"/>
            <w:kern w:val="0"/>
            <w:sz w:val="18"/>
            <w:szCs w:val="18"/>
            <w:u w:val="single"/>
            <w:shd w:val="clear" w:color="auto" w:fill="F1F1F1"/>
            <w:vertAlign w:val="superscript"/>
            <w14:ligatures w14:val="none"/>
          </w:rPr>
          <w:t>4</w:t>
        </w:r>
      </w:hyperlink>
    </w:p>
    <w:p w14:paraId="24DFEA32" w14:textId="77777777" w:rsidR="00D65E6B" w:rsidRPr="00D65E6B" w:rsidRDefault="00D65E6B" w:rsidP="00D65E6B">
      <w:pPr>
        <w:spacing w:after="0" w:line="240" w:lineRule="auto"/>
        <w:rPr>
          <w:rFonts w:ascii="Mangal" w:eastAsia="Times New Roman" w:hAnsi="Mangal" w:cs="Mangal"/>
          <w:kern w:val="0"/>
          <w:sz w:val="20"/>
          <w14:ligatures w14:val="none"/>
        </w:rPr>
      </w:pPr>
      <w:r w:rsidRPr="00D65E6B">
        <w:rPr>
          <w:rFonts w:ascii="Mangal" w:eastAsia="Times New Roman" w:hAnsi="Mangal" w:cs="Mangal"/>
          <w:kern w:val="0"/>
          <w:sz w:val="20"/>
          <w14:ligatures w14:val="none"/>
        </w:rPr>
        <w:t>Affiliations expand</w:t>
      </w:r>
    </w:p>
    <w:p w14:paraId="3D283870" w14:textId="77777777" w:rsidR="00D65E6B" w:rsidRPr="00D65E6B" w:rsidRDefault="00D65E6B" w:rsidP="00D65E6B">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D65E6B">
        <w:rPr>
          <w:rFonts w:ascii="Mangal" w:eastAsia="Times New Roman" w:hAnsi="Mangal" w:cs="Mangal"/>
          <w:kern w:val="0"/>
          <w:sz w:val="20"/>
          <w14:ligatures w14:val="none"/>
        </w:rPr>
        <w:t>PMID: </w:t>
      </w:r>
      <w:r w:rsidRPr="00D65E6B">
        <w:rPr>
          <w:rFonts w:ascii="Mangal" w:eastAsia="Times New Roman" w:hAnsi="Mangal" w:cs="Mangal"/>
          <w:color w:val="212121"/>
          <w:kern w:val="0"/>
          <w:sz w:val="20"/>
          <w14:ligatures w14:val="none"/>
        </w:rPr>
        <w:t>30511165</w:t>
      </w:r>
    </w:p>
    <w:p w14:paraId="4B09E3F9" w14:textId="77777777" w:rsidR="00D65E6B" w:rsidRPr="00D65E6B" w:rsidRDefault="00D65E6B" w:rsidP="00D65E6B">
      <w:pPr>
        <w:spacing w:after="0" w:line="240" w:lineRule="auto"/>
        <w:ind w:left="720"/>
        <w:rPr>
          <w:rFonts w:ascii="Mangal" w:eastAsia="Times New Roman" w:hAnsi="Mangal" w:cs="Mangal"/>
          <w:kern w:val="0"/>
          <w:sz w:val="20"/>
          <w14:ligatures w14:val="none"/>
        </w:rPr>
      </w:pPr>
      <w:r w:rsidRPr="00D65E6B">
        <w:rPr>
          <w:rFonts w:ascii="Mangal" w:eastAsia="Times New Roman" w:hAnsi="Mangal" w:cs="Mangal"/>
          <w:kern w:val="0"/>
          <w:sz w:val="20"/>
          <w14:ligatures w14:val="none"/>
        </w:rPr>
        <w:t> </w:t>
      </w:r>
    </w:p>
    <w:p w14:paraId="557BA5A4" w14:textId="77777777" w:rsidR="00D65E6B" w:rsidRPr="00D65E6B" w:rsidRDefault="00D65E6B" w:rsidP="00D65E6B">
      <w:pPr>
        <w:numPr>
          <w:ilvl w:val="0"/>
          <w:numId w:val="2"/>
        </w:numPr>
        <w:spacing w:before="100" w:beforeAutospacing="1" w:after="100" w:afterAutospacing="1" w:line="240" w:lineRule="auto"/>
        <w:rPr>
          <w:rFonts w:ascii="Mangal" w:eastAsia="Times New Roman" w:hAnsi="Mangal" w:cs="Mangal"/>
          <w:kern w:val="0"/>
          <w:sz w:val="20"/>
          <w14:ligatures w14:val="none"/>
        </w:rPr>
      </w:pPr>
      <w:r w:rsidRPr="00D65E6B">
        <w:rPr>
          <w:rFonts w:ascii="Mangal" w:eastAsia="Times New Roman" w:hAnsi="Mangal" w:cs="Mangal"/>
          <w:kern w:val="0"/>
          <w:sz w:val="20"/>
          <w14:ligatures w14:val="none"/>
        </w:rPr>
        <w:t>DOI: </w:t>
      </w:r>
      <w:hyperlink r:id="rId21" w:tgtFrame="_blank" w:history="1">
        <w:r w:rsidRPr="00D65E6B">
          <w:rPr>
            <w:rFonts w:ascii="Mangal" w:eastAsia="Times New Roman" w:hAnsi="Mangal" w:cs="Mangal"/>
            <w:color w:val="0071BC"/>
            <w:kern w:val="0"/>
            <w:sz w:val="20"/>
            <w:u w:val="single"/>
            <w14:ligatures w14:val="none"/>
          </w:rPr>
          <w:t>10.1007/s00394-018-1859-y</w:t>
        </w:r>
      </w:hyperlink>
    </w:p>
    <w:p w14:paraId="038E6AC9" w14:textId="77777777" w:rsidR="00D65E6B" w:rsidRPr="00D65E6B" w:rsidRDefault="00D65E6B" w:rsidP="00D65E6B">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D65E6B">
        <w:rPr>
          <w:rFonts w:ascii="Merriweather" w:eastAsia="Times New Roman" w:hAnsi="Merriweather" w:cs="Segoe UI"/>
          <w:b/>
          <w:bCs/>
          <w:color w:val="212121"/>
          <w:kern w:val="0"/>
          <w:sz w:val="36"/>
          <w:szCs w:val="36"/>
          <w14:ligatures w14:val="none"/>
        </w:rPr>
        <w:t>Erratum in</w:t>
      </w:r>
    </w:p>
    <w:p w14:paraId="09A34B35" w14:textId="77777777" w:rsidR="00D65E6B" w:rsidRPr="00D65E6B" w:rsidRDefault="00D65E6B" w:rsidP="00D65E6B">
      <w:pPr>
        <w:numPr>
          <w:ilvl w:val="0"/>
          <w:numId w:val="3"/>
        </w:numPr>
        <w:shd w:val="clear" w:color="auto" w:fill="FFFFFF"/>
        <w:spacing w:after="0" w:line="240" w:lineRule="auto"/>
        <w:rPr>
          <w:rFonts w:ascii="Segoe UI" w:eastAsia="Times New Roman" w:hAnsi="Segoe UI" w:cs="Segoe UI"/>
          <w:color w:val="212121"/>
          <w:kern w:val="0"/>
          <w:sz w:val="24"/>
          <w:szCs w:val="24"/>
          <w14:ligatures w14:val="none"/>
        </w:rPr>
      </w:pPr>
      <w:hyperlink r:id="rId22" w:history="1">
        <w:r w:rsidRPr="00D65E6B">
          <w:rPr>
            <w:rFonts w:ascii="Segoe UI" w:eastAsia="Times New Roman" w:hAnsi="Segoe UI" w:cs="Segoe UI"/>
            <w:color w:val="0071BC"/>
            <w:kern w:val="0"/>
            <w:sz w:val="24"/>
            <w:szCs w:val="24"/>
            <w:u w:val="single"/>
            <w14:ligatures w14:val="none"/>
          </w:rPr>
          <w:t>Correction to: Micronutrient intakes and status assessed by probability approach among the urban adult population of Hyderabad city in South India.</w:t>
        </w:r>
      </w:hyperlink>
    </w:p>
    <w:p w14:paraId="5888EDD8" w14:textId="77777777" w:rsidR="00D65E6B" w:rsidRPr="00D65E6B" w:rsidRDefault="00D65E6B" w:rsidP="00D65E6B">
      <w:pPr>
        <w:shd w:val="clear" w:color="auto" w:fill="FFFFFF"/>
        <w:spacing w:after="0" w:line="240" w:lineRule="auto"/>
        <w:ind w:left="720"/>
        <w:rPr>
          <w:rFonts w:ascii="Segoe UI" w:eastAsia="Times New Roman" w:hAnsi="Segoe UI" w:cs="Segoe UI"/>
          <w:color w:val="4D8055"/>
          <w:kern w:val="0"/>
          <w:sz w:val="24"/>
          <w:szCs w:val="24"/>
          <w14:ligatures w14:val="none"/>
        </w:rPr>
      </w:pPr>
      <w:r w:rsidRPr="00D65E6B">
        <w:rPr>
          <w:rFonts w:ascii="Segoe UI" w:eastAsia="Times New Roman" w:hAnsi="Segoe UI" w:cs="Segoe UI"/>
          <w:color w:val="212121"/>
          <w:kern w:val="0"/>
          <w:sz w:val="24"/>
          <w:szCs w:val="24"/>
          <w14:ligatures w14:val="none"/>
        </w:rPr>
        <w:t>Shalini T, Sivaprasad M, Balakrishna N, Madhavi G, Radhika MS, Kumar BN, Pullakhandam R, Reddy GB.</w:t>
      </w:r>
      <w:r w:rsidRPr="00D65E6B">
        <w:rPr>
          <w:rFonts w:ascii="Segoe UI" w:eastAsia="Times New Roman" w:hAnsi="Segoe UI" w:cs="Segoe UI"/>
          <w:color w:val="4D8055"/>
          <w:kern w:val="0"/>
          <w:sz w:val="24"/>
          <w:szCs w:val="24"/>
          <w14:ligatures w14:val="none"/>
        </w:rPr>
        <w:t>Eur J Nutr. 2021 Jun;60(4):2271-2272. doi: 10.1007/s00394-021-02534-y.PMID: 33825971 No abstract available.</w:t>
      </w:r>
    </w:p>
    <w:p w14:paraId="18195D26" w14:textId="77777777" w:rsidR="00D65E6B" w:rsidRPr="00D65E6B" w:rsidRDefault="00D65E6B" w:rsidP="00D65E6B">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D65E6B">
        <w:rPr>
          <w:rFonts w:ascii="Merriweather" w:eastAsia="Times New Roman" w:hAnsi="Merriweather" w:cs="Segoe UI"/>
          <w:b/>
          <w:bCs/>
          <w:color w:val="212121"/>
          <w:kern w:val="0"/>
          <w:sz w:val="36"/>
          <w:szCs w:val="36"/>
          <w14:ligatures w14:val="none"/>
        </w:rPr>
        <w:t>Abstract</w:t>
      </w:r>
    </w:p>
    <w:p w14:paraId="201740F1" w14:textId="77777777" w:rsidR="00D65E6B" w:rsidRPr="00D65E6B" w:rsidRDefault="00D65E6B" w:rsidP="00D65E6B">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D65E6B">
        <w:rPr>
          <w:rFonts w:ascii="Segoe UI" w:eastAsia="Times New Roman" w:hAnsi="Segoe UI" w:cs="Segoe UI"/>
          <w:b/>
          <w:bCs/>
          <w:color w:val="212121"/>
          <w:kern w:val="0"/>
          <w:sz w:val="24"/>
          <w:szCs w:val="24"/>
          <w14:ligatures w14:val="none"/>
        </w:rPr>
        <w:t>Purpose: </w:t>
      </w:r>
      <w:r w:rsidRPr="00D65E6B">
        <w:rPr>
          <w:rFonts w:ascii="Segoe UI" w:eastAsia="Times New Roman" w:hAnsi="Segoe UI" w:cs="Segoe UI"/>
          <w:color w:val="212121"/>
          <w:kern w:val="0"/>
          <w:sz w:val="24"/>
          <w:szCs w:val="24"/>
          <w14:ligatures w14:val="none"/>
        </w:rPr>
        <w:t>To assess the dietary inadequacies of micronutrients and the associated factors among the apparently healthy urban adults.</w:t>
      </w:r>
    </w:p>
    <w:p w14:paraId="372311A0" w14:textId="77777777" w:rsidR="00D65E6B" w:rsidRPr="00D65E6B" w:rsidRDefault="00D65E6B" w:rsidP="00D65E6B">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D65E6B">
        <w:rPr>
          <w:rFonts w:ascii="Segoe UI" w:eastAsia="Times New Roman" w:hAnsi="Segoe UI" w:cs="Segoe UI"/>
          <w:b/>
          <w:bCs/>
          <w:color w:val="212121"/>
          <w:kern w:val="0"/>
          <w:sz w:val="24"/>
          <w:szCs w:val="24"/>
          <w14:ligatures w14:val="none"/>
        </w:rPr>
        <w:t>Methods: </w:t>
      </w:r>
      <w:r w:rsidRPr="00D65E6B">
        <w:rPr>
          <w:rFonts w:ascii="Segoe UI" w:eastAsia="Times New Roman" w:hAnsi="Segoe UI" w:cs="Segoe UI"/>
          <w:color w:val="212121"/>
          <w:kern w:val="0"/>
          <w:sz w:val="24"/>
          <w:szCs w:val="24"/>
          <w14:ligatures w14:val="none"/>
        </w:rPr>
        <w:t xml:space="preserve">This community-based cross-sectional study involved 300 urban adults (distributed into age groups: 21-40, 41-60, and &gt; 60 years) residing in Hyderabad city, South India. Hemoglobin in whole blood, ferritin, folate, and vitamin B12 (B12) in </w:t>
      </w:r>
      <w:r w:rsidRPr="00D65E6B">
        <w:rPr>
          <w:rFonts w:ascii="Segoe UI" w:eastAsia="Times New Roman" w:hAnsi="Segoe UI" w:cs="Segoe UI"/>
          <w:color w:val="212121"/>
          <w:kern w:val="0"/>
          <w:sz w:val="24"/>
          <w:szCs w:val="24"/>
          <w14:ligatures w14:val="none"/>
        </w:rPr>
        <w:lastRenderedPageBreak/>
        <w:t>plasma was estimated. Dietary intakes were assessed by three 24-h dietary recalls and calculated the probability of adequacy (PA) using estimated average requirement.</w:t>
      </w:r>
    </w:p>
    <w:p w14:paraId="57680A2E" w14:textId="77777777" w:rsidR="00D65E6B" w:rsidRPr="00D65E6B" w:rsidRDefault="00D65E6B" w:rsidP="00D65E6B">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D65E6B">
        <w:rPr>
          <w:rFonts w:ascii="Segoe UI" w:eastAsia="Times New Roman" w:hAnsi="Segoe UI" w:cs="Segoe UI"/>
          <w:b/>
          <w:bCs/>
          <w:color w:val="212121"/>
          <w:kern w:val="0"/>
          <w:sz w:val="24"/>
          <w:szCs w:val="24"/>
          <w14:ligatures w14:val="none"/>
        </w:rPr>
        <w:t>Results: </w:t>
      </w:r>
      <w:r w:rsidRPr="00D65E6B">
        <w:rPr>
          <w:rFonts w:ascii="Segoe UI" w:eastAsia="Times New Roman" w:hAnsi="Segoe UI" w:cs="Segoe UI"/>
          <w:color w:val="212121"/>
          <w:kern w:val="0"/>
          <w:sz w:val="24"/>
          <w:szCs w:val="24"/>
          <w14:ligatures w14:val="none"/>
        </w:rPr>
        <w:t>The prevalence of anemia (30%), iron deficiency (ID, 23%), and iron deficiency anemia (IDA, 14.3%) was independent of age but higher in women. While folate deficiency (32.2%) was independent of age and gender, B12 deficiency (35.5%) varied by both age and gender. The PA of iron (89%) was higher, while that of folate, B12, and zinc (1-11%) were noticeably low. The mean PA (MPA) across the ten micronutrients was 38%, independent of age and gender, but associated with the educational status. Energy intake was a strong predictor of the MPA. Cereals and millets predominantly contributed to the intake of thiamine, niacin, zinc, and iron; green leafy vegetables and fruits to vitamins A, C, folate, and iron; animal foods to B12; and milk and milk products to calcium, vitamin A, riboflavin, and B12. The unadjusted and adjusted logistic regression models revealed that micronutrient inadequacy was associated with greater risk of IDA and folate deficiency.</w:t>
      </w:r>
    </w:p>
    <w:p w14:paraId="4D5B657F" w14:textId="77777777" w:rsidR="00D65E6B" w:rsidRPr="00D65E6B" w:rsidRDefault="00D65E6B" w:rsidP="00D65E6B">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D65E6B">
        <w:rPr>
          <w:rFonts w:ascii="Segoe UI" w:eastAsia="Times New Roman" w:hAnsi="Segoe UI" w:cs="Segoe UI"/>
          <w:b/>
          <w:bCs/>
          <w:color w:val="212121"/>
          <w:kern w:val="0"/>
          <w:sz w:val="24"/>
          <w:szCs w:val="24"/>
          <w14:ligatures w14:val="none"/>
        </w:rPr>
        <w:t>Conclusions: </w:t>
      </w:r>
      <w:r w:rsidRPr="00D65E6B">
        <w:rPr>
          <w:rFonts w:ascii="Segoe UI" w:eastAsia="Times New Roman" w:hAnsi="Segoe UI" w:cs="Segoe UI"/>
          <w:color w:val="212121"/>
          <w:kern w:val="0"/>
          <w:sz w:val="24"/>
          <w:szCs w:val="24"/>
          <w14:ligatures w14:val="none"/>
        </w:rPr>
        <w:t>These results indicate a higher prevalence of micronutrient deficiencies among the healthy urban adults possibly due to the inadequacy of multiple micronutrients.</w:t>
      </w:r>
    </w:p>
    <w:p w14:paraId="46518A5C" w14:textId="77777777" w:rsidR="00D65E6B" w:rsidRPr="00D65E6B" w:rsidRDefault="00D65E6B" w:rsidP="00D65E6B">
      <w:pPr>
        <w:shd w:val="clear" w:color="auto" w:fill="FFFFFF"/>
        <w:spacing w:before="100" w:beforeAutospacing="1" w:after="100" w:afterAutospacing="1" w:line="240" w:lineRule="auto"/>
        <w:rPr>
          <w:rFonts w:ascii="Segoe UI" w:eastAsia="Times New Roman" w:hAnsi="Segoe UI" w:cs="Segoe UI"/>
          <w:color w:val="212121"/>
          <w:kern w:val="0"/>
          <w:sz w:val="24"/>
          <w:szCs w:val="24"/>
          <w14:ligatures w14:val="none"/>
        </w:rPr>
      </w:pPr>
      <w:r w:rsidRPr="00D65E6B">
        <w:rPr>
          <w:rFonts w:ascii="Segoe UI" w:eastAsia="Times New Roman" w:hAnsi="Segoe UI" w:cs="Segoe UI"/>
          <w:b/>
          <w:bCs/>
          <w:color w:val="212121"/>
          <w:kern w:val="0"/>
          <w:sz w:val="24"/>
          <w:szCs w:val="24"/>
          <w14:ligatures w14:val="none"/>
        </w:rPr>
        <w:t>Keywords: </w:t>
      </w:r>
      <w:r w:rsidRPr="00D65E6B">
        <w:rPr>
          <w:rFonts w:ascii="Segoe UI" w:eastAsia="Times New Roman" w:hAnsi="Segoe UI" w:cs="Segoe UI"/>
          <w:color w:val="212121"/>
          <w:kern w:val="0"/>
          <w:sz w:val="24"/>
          <w:szCs w:val="24"/>
          <w14:ligatures w14:val="none"/>
        </w:rPr>
        <w:t>Dietary intake; Mean probability of adequacy; Micronutrients; Probability of adequacy.</w:t>
      </w:r>
    </w:p>
    <w:p w14:paraId="4135C15D" w14:textId="77777777" w:rsidR="00D65E6B" w:rsidRPr="00D65E6B" w:rsidRDefault="00D65E6B" w:rsidP="00D65E6B">
      <w:pPr>
        <w:shd w:val="clear" w:color="auto" w:fill="FFFFFF"/>
        <w:spacing w:before="100" w:beforeAutospacing="1" w:after="100" w:afterAutospacing="1" w:line="240" w:lineRule="auto"/>
        <w:rPr>
          <w:rFonts w:ascii="Segoe UI" w:eastAsia="Times New Roman" w:hAnsi="Segoe UI" w:cs="Segoe UI"/>
          <w:color w:val="212121"/>
          <w:kern w:val="0"/>
          <w:sz w:val="20"/>
          <w14:ligatures w14:val="none"/>
        </w:rPr>
      </w:pPr>
      <w:hyperlink r:id="rId23" w:tgtFrame="_blank" w:history="1">
        <w:r w:rsidRPr="00D65E6B">
          <w:rPr>
            <w:rFonts w:ascii="Segoe UI" w:eastAsia="Times New Roman" w:hAnsi="Segoe UI" w:cs="Segoe UI"/>
            <w:color w:val="0071BC"/>
            <w:kern w:val="0"/>
            <w:sz w:val="20"/>
            <w:u w:val="single"/>
            <w14:ligatures w14:val="none"/>
          </w:rPr>
          <w:t>PubMed Disclaimer</w:t>
        </w:r>
      </w:hyperlink>
    </w:p>
    <w:p w14:paraId="46A654F7" w14:textId="77777777" w:rsidR="00D65E6B" w:rsidRDefault="00D65E6B"/>
    <w:sectPr w:rsidR="00D65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erriweather">
    <w:charset w:val="00"/>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A639A"/>
    <w:multiLevelType w:val="multilevel"/>
    <w:tmpl w:val="AD18F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35CBA"/>
    <w:multiLevelType w:val="multilevel"/>
    <w:tmpl w:val="0FCC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EF224F"/>
    <w:multiLevelType w:val="multilevel"/>
    <w:tmpl w:val="BACC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333317">
    <w:abstractNumId w:val="0"/>
  </w:num>
  <w:num w:numId="2" w16cid:durableId="1724913041">
    <w:abstractNumId w:val="2"/>
  </w:num>
  <w:num w:numId="3" w16cid:durableId="701712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E6B"/>
    <w:rsid w:val="00D65E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80C27"/>
  <w15:chartTrackingRefBased/>
  <w15:docId w15:val="{AD945955-D3FD-45FC-A45A-2414121E4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5E6B"/>
    <w:pPr>
      <w:spacing w:before="100" w:beforeAutospacing="1" w:after="100" w:afterAutospacing="1" w:line="240" w:lineRule="auto"/>
      <w:outlineLvl w:val="0"/>
    </w:pPr>
    <w:rPr>
      <w:rFonts w:ascii="Mangal" w:eastAsia="Times New Roman" w:hAnsi="Mangal" w:cs="Mangal"/>
      <w:b/>
      <w:bCs/>
      <w:kern w:val="36"/>
      <w:sz w:val="48"/>
      <w:szCs w:val="48"/>
      <w14:ligatures w14:val="none"/>
    </w:rPr>
  </w:style>
  <w:style w:type="paragraph" w:styleId="Heading2">
    <w:name w:val="heading 2"/>
    <w:basedOn w:val="Normal"/>
    <w:link w:val="Heading2Char"/>
    <w:uiPriority w:val="9"/>
    <w:qFormat/>
    <w:rsid w:val="00D65E6B"/>
    <w:pPr>
      <w:spacing w:before="100" w:beforeAutospacing="1" w:after="100" w:afterAutospacing="1" w:line="240" w:lineRule="auto"/>
      <w:outlineLvl w:val="1"/>
    </w:pPr>
    <w:rPr>
      <w:rFonts w:ascii="Mangal" w:eastAsia="Times New Roman" w:hAnsi="Mangal" w:cs="Mangal"/>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E6B"/>
    <w:rPr>
      <w:rFonts w:ascii="Mangal" w:eastAsia="Times New Roman" w:hAnsi="Mangal" w:cs="Mangal"/>
      <w:b/>
      <w:bCs/>
      <w:kern w:val="36"/>
      <w:sz w:val="48"/>
      <w:szCs w:val="48"/>
      <w14:ligatures w14:val="none"/>
    </w:rPr>
  </w:style>
  <w:style w:type="character" w:customStyle="1" w:styleId="Heading2Char">
    <w:name w:val="Heading 2 Char"/>
    <w:basedOn w:val="DefaultParagraphFont"/>
    <w:link w:val="Heading2"/>
    <w:uiPriority w:val="9"/>
    <w:rsid w:val="00D65E6B"/>
    <w:rPr>
      <w:rFonts w:ascii="Mangal" w:eastAsia="Times New Roman" w:hAnsi="Mangal" w:cs="Mangal"/>
      <w:b/>
      <w:bCs/>
      <w:kern w:val="0"/>
      <w:sz w:val="36"/>
      <w:szCs w:val="36"/>
      <w14:ligatures w14:val="none"/>
    </w:rPr>
  </w:style>
  <w:style w:type="character" w:styleId="Hyperlink">
    <w:name w:val="Hyperlink"/>
    <w:basedOn w:val="DefaultParagraphFont"/>
    <w:uiPriority w:val="99"/>
    <w:semiHidden/>
    <w:unhideWhenUsed/>
    <w:rsid w:val="00D65E6B"/>
    <w:rPr>
      <w:color w:val="0000FF"/>
      <w:u w:val="single"/>
    </w:rPr>
  </w:style>
  <w:style w:type="character" w:customStyle="1" w:styleId="period">
    <w:name w:val="period"/>
    <w:basedOn w:val="DefaultParagraphFont"/>
    <w:rsid w:val="00D65E6B"/>
  </w:style>
  <w:style w:type="character" w:customStyle="1" w:styleId="cit">
    <w:name w:val="cit"/>
    <w:basedOn w:val="DefaultParagraphFont"/>
    <w:rsid w:val="00D65E6B"/>
  </w:style>
  <w:style w:type="character" w:customStyle="1" w:styleId="citation-doi">
    <w:name w:val="citation-doi"/>
    <w:basedOn w:val="DefaultParagraphFont"/>
    <w:rsid w:val="00D65E6B"/>
  </w:style>
  <w:style w:type="character" w:customStyle="1" w:styleId="secondary-date">
    <w:name w:val="secondary-date"/>
    <w:basedOn w:val="DefaultParagraphFont"/>
    <w:rsid w:val="00D65E6B"/>
  </w:style>
  <w:style w:type="character" w:customStyle="1" w:styleId="authors-list-item">
    <w:name w:val="authors-list-item"/>
    <w:basedOn w:val="DefaultParagraphFont"/>
    <w:rsid w:val="00D65E6B"/>
  </w:style>
  <w:style w:type="character" w:customStyle="1" w:styleId="author-sup-separator">
    <w:name w:val="author-sup-separator"/>
    <w:basedOn w:val="DefaultParagraphFont"/>
    <w:rsid w:val="00D65E6B"/>
  </w:style>
  <w:style w:type="character" w:customStyle="1" w:styleId="comma">
    <w:name w:val="comma"/>
    <w:basedOn w:val="DefaultParagraphFont"/>
    <w:rsid w:val="00D65E6B"/>
  </w:style>
  <w:style w:type="character" w:customStyle="1" w:styleId="title">
    <w:name w:val="title"/>
    <w:basedOn w:val="DefaultParagraphFont"/>
    <w:rsid w:val="00D65E6B"/>
  </w:style>
  <w:style w:type="character" w:customStyle="1" w:styleId="identifier">
    <w:name w:val="identifier"/>
    <w:basedOn w:val="DefaultParagraphFont"/>
    <w:rsid w:val="00D65E6B"/>
  </w:style>
  <w:style w:type="character" w:customStyle="1" w:styleId="id-label">
    <w:name w:val="id-label"/>
    <w:basedOn w:val="DefaultParagraphFont"/>
    <w:rsid w:val="00D65E6B"/>
  </w:style>
  <w:style w:type="character" w:styleId="Strong">
    <w:name w:val="Strong"/>
    <w:basedOn w:val="DefaultParagraphFont"/>
    <w:uiPriority w:val="22"/>
    <w:qFormat/>
    <w:rsid w:val="00D65E6B"/>
    <w:rPr>
      <w:b/>
      <w:bCs/>
    </w:rPr>
  </w:style>
  <w:style w:type="paragraph" w:customStyle="1" w:styleId="full-docsum">
    <w:name w:val="full-docsum"/>
    <w:basedOn w:val="Normal"/>
    <w:rsid w:val="00D65E6B"/>
    <w:pPr>
      <w:spacing w:before="100" w:beforeAutospacing="1" w:after="100" w:afterAutospacing="1" w:line="240" w:lineRule="auto"/>
    </w:pPr>
    <w:rPr>
      <w:rFonts w:ascii="Mangal" w:eastAsia="Times New Roman" w:hAnsi="Mangal" w:cs="Mangal"/>
      <w:kern w:val="0"/>
      <w:sz w:val="20"/>
      <w14:ligatures w14:val="none"/>
    </w:rPr>
  </w:style>
  <w:style w:type="character" w:customStyle="1" w:styleId="docsum-authors">
    <w:name w:val="docsum-authors"/>
    <w:basedOn w:val="DefaultParagraphFont"/>
    <w:rsid w:val="00D65E6B"/>
  </w:style>
  <w:style w:type="character" w:customStyle="1" w:styleId="docsum-journal-citation">
    <w:name w:val="docsum-journal-citation"/>
    <w:basedOn w:val="DefaultParagraphFont"/>
    <w:rsid w:val="00D65E6B"/>
  </w:style>
  <w:style w:type="character" w:customStyle="1" w:styleId="citation-part">
    <w:name w:val="citation-part"/>
    <w:basedOn w:val="DefaultParagraphFont"/>
    <w:rsid w:val="00D65E6B"/>
  </w:style>
  <w:style w:type="character" w:customStyle="1" w:styleId="docsum-pmid">
    <w:name w:val="docsum-pmid"/>
    <w:basedOn w:val="DefaultParagraphFont"/>
    <w:rsid w:val="00D65E6B"/>
  </w:style>
  <w:style w:type="character" w:customStyle="1" w:styleId="no-abstract">
    <w:name w:val="no-abstract"/>
    <w:basedOn w:val="DefaultParagraphFont"/>
    <w:rsid w:val="00D65E6B"/>
  </w:style>
  <w:style w:type="paragraph" w:styleId="NormalWeb">
    <w:name w:val="Normal (Web)"/>
    <w:basedOn w:val="Normal"/>
    <w:uiPriority w:val="99"/>
    <w:semiHidden/>
    <w:unhideWhenUsed/>
    <w:rsid w:val="00D65E6B"/>
    <w:pPr>
      <w:spacing w:before="100" w:beforeAutospacing="1" w:after="100" w:afterAutospacing="1" w:line="240" w:lineRule="auto"/>
    </w:pPr>
    <w:rPr>
      <w:rFonts w:ascii="Mangal" w:eastAsia="Times New Roman" w:hAnsi="Mangal" w:cs="Mangal"/>
      <w:kern w:val="0"/>
      <w:sz w:val="20"/>
      <w14:ligatures w14:val="none"/>
    </w:rPr>
  </w:style>
  <w:style w:type="paragraph" w:customStyle="1" w:styleId="disclaimer">
    <w:name w:val="disclaimer"/>
    <w:basedOn w:val="Normal"/>
    <w:rsid w:val="00D65E6B"/>
    <w:pPr>
      <w:spacing w:before="100" w:beforeAutospacing="1" w:after="100" w:afterAutospacing="1" w:line="240" w:lineRule="auto"/>
    </w:pPr>
    <w:rPr>
      <w:rFonts w:ascii="Mangal" w:eastAsia="Times New Roman" w:hAnsi="Mangal" w:cs="Mangal"/>
      <w:kern w:val="0"/>
      <w:sz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66559">
      <w:bodyDiv w:val="1"/>
      <w:marLeft w:val="0"/>
      <w:marRight w:val="0"/>
      <w:marTop w:val="0"/>
      <w:marBottom w:val="0"/>
      <w:divBdr>
        <w:top w:val="none" w:sz="0" w:space="0" w:color="auto"/>
        <w:left w:val="none" w:sz="0" w:space="0" w:color="auto"/>
        <w:bottom w:val="none" w:sz="0" w:space="0" w:color="auto"/>
        <w:right w:val="none" w:sz="0" w:space="0" w:color="auto"/>
      </w:divBdr>
      <w:divsChild>
        <w:div w:id="115490945">
          <w:marLeft w:val="0"/>
          <w:marRight w:val="0"/>
          <w:marTop w:val="0"/>
          <w:marBottom w:val="0"/>
          <w:divBdr>
            <w:top w:val="none" w:sz="0" w:space="0" w:color="auto"/>
            <w:left w:val="none" w:sz="0" w:space="0" w:color="auto"/>
            <w:bottom w:val="none" w:sz="0" w:space="0" w:color="auto"/>
            <w:right w:val="none" w:sz="0" w:space="0" w:color="auto"/>
          </w:divBdr>
          <w:divsChild>
            <w:div w:id="975140265">
              <w:marLeft w:val="0"/>
              <w:marRight w:val="0"/>
              <w:marTop w:val="0"/>
              <w:marBottom w:val="0"/>
              <w:divBdr>
                <w:top w:val="none" w:sz="0" w:space="0" w:color="auto"/>
                <w:left w:val="none" w:sz="0" w:space="0" w:color="auto"/>
                <w:bottom w:val="none" w:sz="0" w:space="0" w:color="auto"/>
                <w:right w:val="none" w:sz="0" w:space="0" w:color="auto"/>
              </w:divBdr>
              <w:divsChild>
                <w:div w:id="1312251632">
                  <w:marLeft w:val="0"/>
                  <w:marRight w:val="0"/>
                  <w:marTop w:val="0"/>
                  <w:marBottom w:val="0"/>
                  <w:divBdr>
                    <w:top w:val="none" w:sz="0" w:space="0" w:color="auto"/>
                    <w:left w:val="none" w:sz="0" w:space="0" w:color="auto"/>
                    <w:bottom w:val="none" w:sz="0" w:space="0" w:color="auto"/>
                    <w:right w:val="none" w:sz="0" w:space="0" w:color="auto"/>
                  </w:divBdr>
                  <w:divsChild>
                    <w:div w:id="1499274150">
                      <w:marLeft w:val="0"/>
                      <w:marRight w:val="0"/>
                      <w:marTop w:val="0"/>
                      <w:marBottom w:val="0"/>
                      <w:divBdr>
                        <w:top w:val="none" w:sz="0" w:space="0" w:color="auto"/>
                        <w:left w:val="none" w:sz="0" w:space="0" w:color="auto"/>
                        <w:bottom w:val="none" w:sz="0" w:space="0" w:color="auto"/>
                        <w:right w:val="none" w:sz="0" w:space="0" w:color="auto"/>
                      </w:divBdr>
                      <w:divsChild>
                        <w:div w:id="3402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056802">
              <w:marLeft w:val="0"/>
              <w:marRight w:val="0"/>
              <w:marTop w:val="0"/>
              <w:marBottom w:val="0"/>
              <w:divBdr>
                <w:top w:val="none" w:sz="0" w:space="0" w:color="auto"/>
                <w:left w:val="none" w:sz="0" w:space="0" w:color="auto"/>
                <w:bottom w:val="none" w:sz="0" w:space="0" w:color="auto"/>
                <w:right w:val="none" w:sz="0" w:space="0" w:color="auto"/>
              </w:divBdr>
              <w:divsChild>
                <w:div w:id="381826696">
                  <w:marLeft w:val="0"/>
                  <w:marRight w:val="0"/>
                  <w:marTop w:val="0"/>
                  <w:marBottom w:val="0"/>
                  <w:divBdr>
                    <w:top w:val="none" w:sz="0" w:space="0" w:color="auto"/>
                    <w:left w:val="none" w:sz="0" w:space="0" w:color="auto"/>
                    <w:bottom w:val="none" w:sz="0" w:space="0" w:color="auto"/>
                    <w:right w:val="none" w:sz="0" w:space="0" w:color="auto"/>
                  </w:divBdr>
                  <w:divsChild>
                    <w:div w:id="1841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13220">
              <w:marLeft w:val="0"/>
              <w:marRight w:val="0"/>
              <w:marTop w:val="0"/>
              <w:marBottom w:val="0"/>
              <w:divBdr>
                <w:top w:val="none" w:sz="0" w:space="0" w:color="auto"/>
                <w:left w:val="none" w:sz="0" w:space="0" w:color="auto"/>
                <w:bottom w:val="none" w:sz="0" w:space="0" w:color="auto"/>
                <w:right w:val="none" w:sz="0" w:space="0" w:color="auto"/>
              </w:divBdr>
            </w:div>
          </w:divsChild>
        </w:div>
        <w:div w:id="394668389">
          <w:marLeft w:val="0"/>
          <w:marRight w:val="0"/>
          <w:marTop w:val="0"/>
          <w:marBottom w:val="0"/>
          <w:divBdr>
            <w:top w:val="none" w:sz="0" w:space="0" w:color="auto"/>
            <w:left w:val="none" w:sz="0" w:space="0" w:color="auto"/>
            <w:bottom w:val="none" w:sz="0" w:space="0" w:color="auto"/>
            <w:right w:val="none" w:sz="0" w:space="0" w:color="auto"/>
          </w:divBdr>
          <w:divsChild>
            <w:div w:id="1978996281">
              <w:marLeft w:val="0"/>
              <w:marRight w:val="0"/>
              <w:marTop w:val="0"/>
              <w:marBottom w:val="0"/>
              <w:divBdr>
                <w:top w:val="none" w:sz="0" w:space="0" w:color="auto"/>
                <w:left w:val="none" w:sz="0" w:space="0" w:color="auto"/>
                <w:bottom w:val="none" w:sz="0" w:space="0" w:color="auto"/>
                <w:right w:val="none" w:sz="0" w:space="0" w:color="auto"/>
              </w:divBdr>
              <w:divsChild>
                <w:div w:id="61328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1646">
          <w:marLeft w:val="0"/>
          <w:marRight w:val="0"/>
          <w:marTop w:val="0"/>
          <w:marBottom w:val="0"/>
          <w:divBdr>
            <w:top w:val="none" w:sz="0" w:space="0" w:color="auto"/>
            <w:left w:val="none" w:sz="0" w:space="0" w:color="auto"/>
            <w:bottom w:val="none" w:sz="0" w:space="0" w:color="auto"/>
            <w:right w:val="none" w:sz="0" w:space="0" w:color="auto"/>
          </w:divBdr>
          <w:divsChild>
            <w:div w:id="6154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0511165/" TargetMode="External"/><Relationship Id="rId13" Type="http://schemas.openxmlformats.org/officeDocument/2006/relationships/hyperlink" Target="https://pubmed.ncbi.nlm.nih.gov/?term=Radhika+MS&amp;cauthor_id=30511165" TargetMode="External"/><Relationship Id="rId18" Type="http://schemas.openxmlformats.org/officeDocument/2006/relationships/hyperlink" Target="https://pubmed.ncbi.nlm.nih.gov/30511165/" TargetMode="External"/><Relationship Id="rId3" Type="http://schemas.openxmlformats.org/officeDocument/2006/relationships/settings" Target="settings.xml"/><Relationship Id="rId21" Type="http://schemas.openxmlformats.org/officeDocument/2006/relationships/hyperlink" Target="https://doi.org/10.1007/s00394-018-1859-y" TargetMode="External"/><Relationship Id="rId7" Type="http://schemas.openxmlformats.org/officeDocument/2006/relationships/hyperlink" Target="https://pubmed.ncbi.nlm.nih.gov/?term=Sivaprasad+M&amp;cauthor_id=30511165" TargetMode="External"/><Relationship Id="rId12" Type="http://schemas.openxmlformats.org/officeDocument/2006/relationships/hyperlink" Target="https://pubmed.ncbi.nlm.nih.gov/30511165/" TargetMode="External"/><Relationship Id="rId17" Type="http://schemas.openxmlformats.org/officeDocument/2006/relationships/hyperlink" Target="https://pubmed.ncbi.nlm.nih.gov/?term=Pullakhandam+R&amp;cauthor_id=30511165"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ubmed.ncbi.nlm.nih.gov/30511165/" TargetMode="External"/><Relationship Id="rId20" Type="http://schemas.openxmlformats.org/officeDocument/2006/relationships/hyperlink" Target="https://pubmed.ncbi.nlm.nih.gov/30511165/" TargetMode="External"/><Relationship Id="rId1" Type="http://schemas.openxmlformats.org/officeDocument/2006/relationships/numbering" Target="numbering.xml"/><Relationship Id="rId6" Type="http://schemas.openxmlformats.org/officeDocument/2006/relationships/hyperlink" Target="https://pubmed.ncbi.nlm.nih.gov/30511165/" TargetMode="External"/><Relationship Id="rId11" Type="http://schemas.openxmlformats.org/officeDocument/2006/relationships/hyperlink" Target="https://pubmed.ncbi.nlm.nih.gov/?term=Madhavi+G&amp;cauthor_id=30511165" TargetMode="External"/><Relationship Id="rId24" Type="http://schemas.openxmlformats.org/officeDocument/2006/relationships/fontTable" Target="fontTable.xml"/><Relationship Id="rId5" Type="http://schemas.openxmlformats.org/officeDocument/2006/relationships/hyperlink" Target="https://pubmed.ncbi.nlm.nih.gov/?term=Shalini+T&amp;cauthor_id=30511165" TargetMode="External"/><Relationship Id="rId15" Type="http://schemas.openxmlformats.org/officeDocument/2006/relationships/hyperlink" Target="https://pubmed.ncbi.nlm.nih.gov/?term=Kumar+BN&amp;cauthor_id=30511165" TargetMode="External"/><Relationship Id="rId23" Type="http://schemas.openxmlformats.org/officeDocument/2006/relationships/hyperlink" Target="https://pubmed.ncbi.nlm.nih.gov/disclaimer/" TargetMode="External"/><Relationship Id="rId10" Type="http://schemas.openxmlformats.org/officeDocument/2006/relationships/hyperlink" Target="https://pubmed.ncbi.nlm.nih.gov/30511165/" TargetMode="External"/><Relationship Id="rId19" Type="http://schemas.openxmlformats.org/officeDocument/2006/relationships/hyperlink" Target="https://pubmed.ncbi.nlm.nih.gov/?term=Reddy+GB&amp;cauthor_id=30511165" TargetMode="External"/><Relationship Id="rId4" Type="http://schemas.openxmlformats.org/officeDocument/2006/relationships/webSettings" Target="webSettings.xml"/><Relationship Id="rId9" Type="http://schemas.openxmlformats.org/officeDocument/2006/relationships/hyperlink" Target="https://pubmed.ncbi.nlm.nih.gov/?term=Balakrishna+N&amp;cauthor_id=30511165" TargetMode="External"/><Relationship Id="rId14" Type="http://schemas.openxmlformats.org/officeDocument/2006/relationships/hyperlink" Target="https://pubmed.ncbi.nlm.nih.gov/30511165/" TargetMode="External"/><Relationship Id="rId22" Type="http://schemas.openxmlformats.org/officeDocument/2006/relationships/hyperlink" Target="https://pubmed.ncbi.nlm.nih.gov/338259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736</Words>
  <Characters>4201</Characters>
  <Application>Microsoft Office Word</Application>
  <DocSecurity>0</DocSecurity>
  <Lines>35</Lines>
  <Paragraphs>9</Paragraphs>
  <ScaleCrop>false</ScaleCrop>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Sareen</dc:creator>
  <cp:keywords/>
  <dc:description/>
  <cp:lastModifiedBy>Neha Sareen</cp:lastModifiedBy>
  <cp:revision>1</cp:revision>
  <dcterms:created xsi:type="dcterms:W3CDTF">2024-02-19T13:29:00Z</dcterms:created>
  <dcterms:modified xsi:type="dcterms:W3CDTF">2024-02-19T13:30:00Z</dcterms:modified>
</cp:coreProperties>
</file>