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28BF" w14:textId="77777777" w:rsidR="00B32B4F" w:rsidRPr="00B32B4F" w:rsidRDefault="00B32B4F" w:rsidP="00B32B4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Eur</w:t>
      </w:r>
      <w:proofErr w:type="spellEnd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 xml:space="preserve"> J 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Nutr</w:t>
      </w:r>
      <w:proofErr w:type="spellEnd"/>
    </w:p>
    <w:p w14:paraId="48F0E0DB" w14:textId="77777777" w:rsidR="00B32B4F" w:rsidRPr="00B32B4F" w:rsidRDefault="00B32B4F" w:rsidP="00B32B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5BEF179C" w14:textId="77777777" w:rsidR="00B32B4F" w:rsidRPr="00B32B4F" w:rsidRDefault="00B32B4F" w:rsidP="00B32B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7E69A4A5" w14:textId="77777777" w:rsidR="00B32B4F" w:rsidRPr="00B32B4F" w:rsidRDefault="00B32B4F" w:rsidP="00B32B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35DE3A24" w14:textId="77777777" w:rsidR="00B32B4F" w:rsidRPr="00B32B4F" w:rsidRDefault="00B32B4F" w:rsidP="00B32B4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14:ligatures w14:val="none"/>
        </w:rPr>
        <w:t>. </w: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2022 Feb;61(1):197-209.</w:t>
      </w:r>
    </w:p>
    <w:p w14:paraId="296935A5" w14:textId="77777777" w:rsidR="00B32B4F" w:rsidRPr="00B32B4F" w:rsidRDefault="00B32B4F" w:rsidP="00B32B4F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doi</w:t>
      </w:r>
      <w:proofErr w:type="spellEnd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: 10.1007/s00394-021-02636-7.</w:t>
      </w: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Epub</w:t>
      </w:r>
      <w:proofErr w:type="spellEnd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 xml:space="preserve"> 2021 Jul 12.</w:t>
      </w:r>
    </w:p>
    <w:p w14:paraId="443BC81E" w14:textId="77777777" w:rsidR="00B32B4F" w:rsidRPr="00B32B4F" w:rsidRDefault="00B32B4F" w:rsidP="00B32B4F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B32B4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Prevalence of vitamin A deficiency and dietary inadequacy in Indian school-age children and adolescents</w:t>
      </w:r>
    </w:p>
    <w:p w14:paraId="4479042F" w14:textId="77777777" w:rsidR="00B32B4F" w:rsidRPr="00B32B4F" w:rsidRDefault="00B32B4F" w:rsidP="00B32B4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hyperlink r:id="rId5" w:history="1">
        <w:proofErr w:type="spellStart"/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Geereddy</w:t>
        </w:r>
        <w:proofErr w:type="spellEnd"/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 xml:space="preserve"> Bhanuprakash Reddy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begin"/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instrText>HYPERLINK "https://pubmed.ncbi.nlm.nih.gov/?term=Shalini+T&amp;cauthor_id=34251518"</w:instrTex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separate"/>
      </w:r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>Tattari</w:t>
      </w:r>
      <w:proofErr w:type="spellEnd"/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 xml:space="preserve"> Shalini</w: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end"/>
      </w:r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7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8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Santu Ghosh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9" w:anchor="full-view-affiliation-2" w:tooltip="Department of Physiology, St. John's Medical College, Sarjapur Road, Bengaluru, 560034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0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 xml:space="preserve">Raghu </w:t>
        </w:r>
        <w:proofErr w:type="spellStart"/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Pullakhandam</w:t>
        </w:r>
        <w:proofErr w:type="spellEnd"/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1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begin"/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instrText>HYPERLINK "https://pubmed.ncbi.nlm.nih.gov/?term=Kumar+BN&amp;cauthor_id=34251518"</w:instrTex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separate"/>
      </w:r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>Boiroju</w:t>
      </w:r>
      <w:proofErr w:type="spellEnd"/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 xml:space="preserve"> Naveen Kumar</w: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end"/>
      </w:r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3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Bharati Kulkarni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5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 xml:space="preserve">Avula </w:t>
        </w:r>
        <w:proofErr w:type="spellStart"/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Laxmaiah</w:t>
        </w:r>
        <w:proofErr w:type="spellEnd"/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7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Umesh Kapil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8" w:anchor="full-view-affiliation-3" w:tooltip="Institute of Liver and Biliary Sciences, New Delhi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9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Sila Deb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0" w:anchor="full-view-affiliation-4" w:tooltip="Ministry of Health and Family Welfare, Delhi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21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Rajkumar Hemalatha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2" w:anchor="full-view-affiliation-1" w:tooltip="National Institute of Nutrition, Indian Council of Medical Research, Hyderabad, India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23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 xml:space="preserve">Anura V </w:t>
        </w:r>
        <w:proofErr w:type="spellStart"/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Kurpad</w:t>
        </w:r>
        <w:proofErr w:type="spellEnd"/>
      </w:hyperlink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4" w:anchor="full-view-affiliation-5" w:tooltip="Department of Physiology, St. John's Medical College, Sarjapur Road, Bengaluru, 560034, India. a.kurpad@sjri.res.in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proofErr w:type="spellStart"/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begin"/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instrText>HYPERLINK "https://pubmed.ncbi.nlm.nih.gov/?term=Sachdev+HS&amp;cauthor_id=34251518"</w:instrTex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separate"/>
      </w:r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>Harshpal</w:t>
      </w:r>
      <w:proofErr w:type="spellEnd"/>
      <w:r w:rsidRPr="00B32B4F">
        <w:rPr>
          <w:rFonts w:ascii="Mangal" w:eastAsia="Times New Roman" w:hAnsi="Mangal" w:cs="Mangal"/>
          <w:color w:val="0071BC"/>
          <w:kern w:val="0"/>
          <w:sz w:val="20"/>
          <w:szCs w:val="20"/>
          <w:u w:val="single"/>
          <w14:ligatures w14:val="none"/>
        </w:rPr>
        <w:t xml:space="preserve"> S Sachdev</w:t>
      </w:r>
      <w:r w:rsidRPr="00B32B4F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fldChar w:fldCharType="end"/>
      </w:r>
      <w:r w:rsidRPr="00B32B4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5" w:anchor="full-view-affiliation-6" w:tooltip="Department of Pediatrics and Clinical Epidemiology, Sitaram Bhartia Institute of Science and Research, New Delhi, India. hpssachdev@gmail.com." w:history="1">
        <w:r w:rsidRPr="00B32B4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6</w:t>
        </w:r>
      </w:hyperlink>
    </w:p>
    <w:p w14:paraId="71A25E61" w14:textId="77777777" w:rsidR="00B32B4F" w:rsidRPr="00B32B4F" w:rsidRDefault="00B32B4F" w:rsidP="00B32B4F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Affiliations expand</w:t>
      </w:r>
    </w:p>
    <w:p w14:paraId="7D0BB13C" w14:textId="77777777" w:rsidR="00B32B4F" w:rsidRPr="00B32B4F" w:rsidRDefault="00B32B4F" w:rsidP="00B32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PMID: </w:t>
      </w:r>
      <w:r w:rsidRPr="00B32B4F">
        <w:rPr>
          <w:rFonts w:ascii="Mangal" w:eastAsia="Times New Roman" w:hAnsi="Mangal" w:cs="Mangal"/>
          <w:color w:val="212121"/>
          <w:kern w:val="0"/>
          <w:sz w:val="20"/>
          <w:szCs w:val="20"/>
          <w14:ligatures w14:val="none"/>
        </w:rPr>
        <w:t>34251518</w:t>
      </w:r>
    </w:p>
    <w:p w14:paraId="449B50B2" w14:textId="77777777" w:rsidR="00B32B4F" w:rsidRPr="00B32B4F" w:rsidRDefault="00B32B4F" w:rsidP="00B32B4F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</w:p>
    <w:p w14:paraId="157386EC" w14:textId="77777777" w:rsidR="00B32B4F" w:rsidRPr="00B32B4F" w:rsidRDefault="00B32B4F" w:rsidP="00B32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B32B4F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DOI: </w:t>
      </w:r>
      <w:hyperlink r:id="rId26" w:tgtFrame="_blank" w:history="1">
        <w:r w:rsidRPr="00B32B4F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10.1007/s00394-021-02636-7</w:t>
        </w:r>
      </w:hyperlink>
    </w:p>
    <w:p w14:paraId="0C0BBF70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B32B4F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39BBEBE7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B32B4F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Purpose: 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There are no representative estimates of vitamin A deficiency (VAD) and risk of vitamin A (VA) dietary inadequacy in Indian children and adolescents. To evaluate, from national surveys, the prevalence of VAD measured by serum retinol concentrations (&lt; 0.7 µmol/L or &lt; 20 µg/dL), and the risk of VA dietary inadequacy and excess intake beyond the tolerable upper limit (TUL).</w:t>
      </w:r>
    </w:p>
    <w:p w14:paraId="7955C9F1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B32B4F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Methods: 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National and state-level VAD prevalence adjusted for inflammation was estimated in school-age children (5-9 years: 10,298) and adolescents (10-19 years: 9824) from the Comprehensive National Nutrition Survey (CNNS 2016-18). The risk of dietary inadequacy against age-specific average VA requirements, and excess intake against the TUL, was assessed from the National Sample Survey Office (NSSO 2014) data.</w:t>
      </w:r>
    </w:p>
    <w:p w14:paraId="6B311843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B32B4F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Results: 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Serum retinol concentrations increased with age (5-19 years) in both genders and were significantly lower in school-age children (1.02 µmol/L, CI: 1.01-1.03) compared to adolescents (1.13 µmol/L, CI 1.12-1.15). The inflammation-adjusted prevalence of VAD in school-age children and adolescents was 19.3% (CI 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lastRenderedPageBreak/>
        <w:t>18.8-19.9) and 14.4% (CI 13.9-14.9) respectively, and this was &gt; 20% in seven and four states for children and adolescents, respectively. The prevalence of VAD was significantly higher among children with lower socio-economic status. The risk of dietary VA inadequacy, from the NSSO survey, was 69 and 78% in children and adolescents, respectively. This risk reduced to 6 and 17% with VA fortified oil and milk intake, while the proportion of intakes exceeding the TUL became 6 and 0.5% in children and adolescents, respectively.</w:t>
      </w:r>
    </w:p>
    <w:p w14:paraId="557CA9F7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B32B4F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Conclusions: 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The national prevalence of VAD in school-age children and adolescents in India was just less than 20%. The risk of dietary VA deficiency is likely to decline substantially with VA fortified food intake, but a risk of excessive intake also begins to appear; therefore, a careful assessment of the risk of hypervitaminosis A is required at these ages.</w:t>
      </w:r>
    </w:p>
    <w:p w14:paraId="2A914AAA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B32B4F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Keywords: </w:t>
      </w:r>
      <w:r w:rsidRPr="00B32B4F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Adolescents; CNNS; India; NSSO; School-age children; Vitamin A deficiency.</w:t>
      </w:r>
    </w:p>
    <w:p w14:paraId="22EA1EBF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:szCs w:val="20"/>
          <w14:ligatures w14:val="none"/>
        </w:rPr>
      </w:pPr>
      <w:r w:rsidRPr="00B32B4F">
        <w:rPr>
          <w:rFonts w:ascii="Segoe UI" w:eastAsia="Times New Roman" w:hAnsi="Segoe UI" w:cs="Segoe UI"/>
          <w:color w:val="212121"/>
          <w:kern w:val="0"/>
          <w:sz w:val="20"/>
          <w:szCs w:val="20"/>
          <w14:ligatures w14:val="none"/>
        </w:rPr>
        <w:t>© 2021. Springer-Verlag GmbH Germany, part of Springer Nature.</w:t>
      </w:r>
    </w:p>
    <w:p w14:paraId="0AAA47B4" w14:textId="77777777" w:rsidR="00B32B4F" w:rsidRPr="00B32B4F" w:rsidRDefault="00B32B4F" w:rsidP="00B32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:szCs w:val="20"/>
          <w14:ligatures w14:val="none"/>
        </w:rPr>
      </w:pPr>
      <w:hyperlink r:id="rId27" w:tgtFrame="_blank" w:history="1">
        <w:r w:rsidRPr="00B32B4F">
          <w:rPr>
            <w:rFonts w:ascii="Segoe UI" w:eastAsia="Times New Roman" w:hAnsi="Segoe UI" w:cs="Segoe UI"/>
            <w:color w:val="0071BC"/>
            <w:kern w:val="0"/>
            <w:sz w:val="20"/>
            <w:szCs w:val="20"/>
            <w:u w:val="single"/>
            <w14:ligatures w14:val="none"/>
          </w:rPr>
          <w:t>PubMed Disclaimer</w:t>
        </w:r>
      </w:hyperlink>
    </w:p>
    <w:p w14:paraId="09DDF77A" w14:textId="77777777" w:rsidR="00B32B4F" w:rsidRDefault="00B32B4F"/>
    <w:sectPr w:rsidR="00B3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10854"/>
    <w:multiLevelType w:val="multilevel"/>
    <w:tmpl w:val="532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D3FB7"/>
    <w:multiLevelType w:val="multilevel"/>
    <w:tmpl w:val="0A1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80478">
    <w:abstractNumId w:val="1"/>
  </w:num>
  <w:num w:numId="2" w16cid:durableId="123924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4F"/>
    <w:rsid w:val="00B3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0AFF"/>
  <w15:chartTrackingRefBased/>
  <w15:docId w15:val="{C613AB38-E731-430A-967B-162E9050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4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2B4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4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2B4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2B4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32B4F"/>
    <w:rPr>
      <w:color w:val="0000FF"/>
      <w:u w:val="single"/>
    </w:rPr>
  </w:style>
  <w:style w:type="character" w:customStyle="1" w:styleId="period">
    <w:name w:val="period"/>
    <w:basedOn w:val="DefaultParagraphFont"/>
    <w:rsid w:val="00B32B4F"/>
  </w:style>
  <w:style w:type="character" w:customStyle="1" w:styleId="cit">
    <w:name w:val="cit"/>
    <w:basedOn w:val="DefaultParagraphFont"/>
    <w:rsid w:val="00B32B4F"/>
  </w:style>
  <w:style w:type="character" w:customStyle="1" w:styleId="citation-doi">
    <w:name w:val="citation-doi"/>
    <w:basedOn w:val="DefaultParagraphFont"/>
    <w:rsid w:val="00B32B4F"/>
  </w:style>
  <w:style w:type="character" w:customStyle="1" w:styleId="secondary-date">
    <w:name w:val="secondary-date"/>
    <w:basedOn w:val="DefaultParagraphFont"/>
    <w:rsid w:val="00B32B4F"/>
  </w:style>
  <w:style w:type="character" w:customStyle="1" w:styleId="authors-list-item">
    <w:name w:val="authors-list-item"/>
    <w:basedOn w:val="DefaultParagraphFont"/>
    <w:rsid w:val="00B32B4F"/>
  </w:style>
  <w:style w:type="character" w:customStyle="1" w:styleId="author-sup-separator">
    <w:name w:val="author-sup-separator"/>
    <w:basedOn w:val="DefaultParagraphFont"/>
    <w:rsid w:val="00B32B4F"/>
  </w:style>
  <w:style w:type="character" w:customStyle="1" w:styleId="comma">
    <w:name w:val="comma"/>
    <w:basedOn w:val="DefaultParagraphFont"/>
    <w:rsid w:val="00B32B4F"/>
  </w:style>
  <w:style w:type="character" w:customStyle="1" w:styleId="title0">
    <w:name w:val="title"/>
    <w:basedOn w:val="DefaultParagraphFont"/>
    <w:rsid w:val="00B32B4F"/>
  </w:style>
  <w:style w:type="character" w:customStyle="1" w:styleId="identifier">
    <w:name w:val="identifier"/>
    <w:basedOn w:val="DefaultParagraphFont"/>
    <w:rsid w:val="00B32B4F"/>
  </w:style>
  <w:style w:type="character" w:customStyle="1" w:styleId="id-label">
    <w:name w:val="id-label"/>
    <w:basedOn w:val="DefaultParagraphFont"/>
    <w:rsid w:val="00B32B4F"/>
  </w:style>
  <w:style w:type="character" w:styleId="Strong">
    <w:name w:val="Strong"/>
    <w:basedOn w:val="DefaultParagraphFont"/>
    <w:uiPriority w:val="22"/>
    <w:qFormat/>
    <w:rsid w:val="00B32B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B4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copyright">
    <w:name w:val="copyright"/>
    <w:basedOn w:val="Normal"/>
    <w:rsid w:val="00B32B4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disclaimer">
    <w:name w:val="disclaimer"/>
    <w:basedOn w:val="Normal"/>
    <w:rsid w:val="00B32B4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Ghosh+S&amp;cauthor_id=34251518" TargetMode="External"/><Relationship Id="rId13" Type="http://schemas.openxmlformats.org/officeDocument/2006/relationships/hyperlink" Target="https://pubmed.ncbi.nlm.nih.gov/?term=Kulkarni+B&amp;cauthor_id=34251518" TargetMode="External"/><Relationship Id="rId18" Type="http://schemas.openxmlformats.org/officeDocument/2006/relationships/hyperlink" Target="https://pubmed.ncbi.nlm.nih.gov/34251518/" TargetMode="External"/><Relationship Id="rId26" Type="http://schemas.openxmlformats.org/officeDocument/2006/relationships/hyperlink" Target="https://doi.org/10.1007/s00394-021-02636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?term=Hemalatha+R&amp;cauthor_id=34251518" TargetMode="External"/><Relationship Id="rId7" Type="http://schemas.openxmlformats.org/officeDocument/2006/relationships/hyperlink" Target="https://pubmed.ncbi.nlm.nih.gov/34251518/" TargetMode="External"/><Relationship Id="rId12" Type="http://schemas.openxmlformats.org/officeDocument/2006/relationships/hyperlink" Target="https://pubmed.ncbi.nlm.nih.gov/34251518/" TargetMode="External"/><Relationship Id="rId17" Type="http://schemas.openxmlformats.org/officeDocument/2006/relationships/hyperlink" Target="https://pubmed.ncbi.nlm.nih.gov/?term=Kapil+U&amp;cauthor_id=34251518" TargetMode="External"/><Relationship Id="rId25" Type="http://schemas.openxmlformats.org/officeDocument/2006/relationships/hyperlink" Target="https://pubmed.ncbi.nlm.nih.gov/342515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4251518/" TargetMode="External"/><Relationship Id="rId20" Type="http://schemas.openxmlformats.org/officeDocument/2006/relationships/hyperlink" Target="https://pubmed.ncbi.nlm.nih.gov/34251518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4251518/" TargetMode="External"/><Relationship Id="rId11" Type="http://schemas.openxmlformats.org/officeDocument/2006/relationships/hyperlink" Target="https://pubmed.ncbi.nlm.nih.gov/34251518/" TargetMode="External"/><Relationship Id="rId24" Type="http://schemas.openxmlformats.org/officeDocument/2006/relationships/hyperlink" Target="https://pubmed.ncbi.nlm.nih.gov/34251518/" TargetMode="External"/><Relationship Id="rId5" Type="http://schemas.openxmlformats.org/officeDocument/2006/relationships/hyperlink" Target="https://pubmed.ncbi.nlm.nih.gov/?term=Reddy+GB&amp;cauthor_id=34251518" TargetMode="External"/><Relationship Id="rId15" Type="http://schemas.openxmlformats.org/officeDocument/2006/relationships/hyperlink" Target="https://pubmed.ncbi.nlm.nih.gov/?term=Laxmaiah+A&amp;cauthor_id=34251518" TargetMode="External"/><Relationship Id="rId23" Type="http://schemas.openxmlformats.org/officeDocument/2006/relationships/hyperlink" Target="https://pubmed.ncbi.nlm.nih.gov/?term=Kurpad+AV&amp;cauthor_id=3425151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ubmed.ncbi.nlm.nih.gov/?term=Pullakhandam+R&amp;cauthor_id=34251518" TargetMode="External"/><Relationship Id="rId19" Type="http://schemas.openxmlformats.org/officeDocument/2006/relationships/hyperlink" Target="https://pubmed.ncbi.nlm.nih.gov/?term=Deb+S&amp;cauthor_id=342515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4251518/" TargetMode="External"/><Relationship Id="rId14" Type="http://schemas.openxmlformats.org/officeDocument/2006/relationships/hyperlink" Target="https://pubmed.ncbi.nlm.nih.gov/34251518/" TargetMode="External"/><Relationship Id="rId22" Type="http://schemas.openxmlformats.org/officeDocument/2006/relationships/hyperlink" Target="https://pubmed.ncbi.nlm.nih.gov/34251518/" TargetMode="External"/><Relationship Id="rId27" Type="http://schemas.openxmlformats.org/officeDocument/2006/relationships/hyperlink" Target="https://pubmed.ncbi.nlm.nih.gov/disclai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2</cp:revision>
  <dcterms:created xsi:type="dcterms:W3CDTF">2024-02-14T07:18:00Z</dcterms:created>
  <dcterms:modified xsi:type="dcterms:W3CDTF">2024-02-14T07:19:00Z</dcterms:modified>
</cp:coreProperties>
</file>