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515C" w14:textId="77777777" w:rsidR="00846256" w:rsidRPr="00846256" w:rsidRDefault="00846256" w:rsidP="00846256">
      <w:pPr>
        <w:spacing w:before="240" w:after="240" w:line="240" w:lineRule="auto"/>
        <w:outlineLvl w:val="0"/>
        <w:rPr>
          <w:rFonts w:ascii="Merriweather Sans" w:eastAsia="Times New Roman" w:hAnsi="Merriweather Sans" w:cs="Mangal"/>
          <w:b/>
          <w:bCs/>
          <w:color w:val="000000" w:themeColor="text1"/>
          <w:kern w:val="36"/>
          <w:sz w:val="48"/>
          <w:szCs w:val="48"/>
          <w14:ligatures w14:val="none"/>
        </w:rPr>
      </w:pPr>
      <w:r w:rsidRPr="00846256">
        <w:rPr>
          <w:rFonts w:ascii="Merriweather Sans" w:eastAsia="Times New Roman" w:hAnsi="Merriweather Sans" w:cs="Mangal"/>
          <w:b/>
          <w:bCs/>
          <w:color w:val="000000" w:themeColor="text1"/>
          <w:kern w:val="36"/>
          <w:sz w:val="48"/>
          <w:szCs w:val="48"/>
          <w14:ligatures w14:val="none"/>
        </w:rPr>
        <w:t xml:space="preserve">Is vitamin D deficiency a public health concern for low middle income countries? A systematic literature </w:t>
      </w:r>
      <w:proofErr w:type="gramStart"/>
      <w:r w:rsidRPr="00846256">
        <w:rPr>
          <w:rFonts w:ascii="Merriweather Sans" w:eastAsia="Times New Roman" w:hAnsi="Merriweather Sans" w:cs="Mangal"/>
          <w:b/>
          <w:bCs/>
          <w:color w:val="000000" w:themeColor="text1"/>
          <w:kern w:val="36"/>
          <w:sz w:val="48"/>
          <w:szCs w:val="48"/>
          <w14:ligatures w14:val="none"/>
        </w:rPr>
        <w:t>review</w:t>
      </w:r>
      <w:proofErr w:type="gramEnd"/>
    </w:p>
    <w:p w14:paraId="62F0F68F" w14:textId="77777777" w:rsidR="00846256" w:rsidRPr="00846256" w:rsidRDefault="00846256" w:rsidP="00846256">
      <w:pPr>
        <w:numPr>
          <w:ilvl w:val="0"/>
          <w:numId w:val="1"/>
        </w:numPr>
        <w:pBdr>
          <w:left w:val="single" w:sz="6" w:space="6" w:color="FFFFFF"/>
        </w:pBdr>
        <w:spacing w:after="120" w:line="240" w:lineRule="auto"/>
        <w:ind w:left="585" w:right="255"/>
        <w:rPr>
          <w:rFonts w:ascii="Merriweather Sans" w:eastAsia="Times New Roman" w:hAnsi="Merriweather Sans" w:cs="Mangal"/>
          <w:color w:val="000000" w:themeColor="text1"/>
          <w:kern w:val="0"/>
          <w:sz w:val="20"/>
          <w:szCs w:val="20"/>
          <w14:ligatures w14:val="none"/>
        </w:rPr>
      </w:pPr>
      <w:r w:rsidRPr="00846256">
        <w:rPr>
          <w:rFonts w:ascii="Merriweather Sans" w:eastAsia="Times New Roman" w:hAnsi="Merriweather Sans" w:cs="Mangal"/>
          <w:color w:val="000000" w:themeColor="text1"/>
          <w:kern w:val="0"/>
          <w:sz w:val="20"/>
          <w:szCs w:val="20"/>
          <w14:ligatures w14:val="none"/>
        </w:rPr>
        <w:t>Original Contribution</w:t>
      </w:r>
    </w:p>
    <w:p w14:paraId="512FB85F" w14:textId="77777777" w:rsidR="00846256" w:rsidRPr="00846256" w:rsidRDefault="00846256" w:rsidP="00846256">
      <w:pPr>
        <w:numPr>
          <w:ilvl w:val="0"/>
          <w:numId w:val="1"/>
        </w:numPr>
        <w:pBdr>
          <w:left w:val="single" w:sz="6" w:space="6" w:color="FFFFFF"/>
        </w:pBdr>
        <w:spacing w:after="120" w:line="240" w:lineRule="auto"/>
        <w:ind w:left="585" w:right="255"/>
        <w:rPr>
          <w:rFonts w:ascii="Merriweather Sans" w:eastAsia="Times New Roman" w:hAnsi="Merriweather Sans" w:cs="Mangal"/>
          <w:color w:val="000000" w:themeColor="text1"/>
          <w:kern w:val="0"/>
          <w:sz w:val="20"/>
          <w:szCs w:val="20"/>
          <w14:ligatures w14:val="none"/>
        </w:rPr>
      </w:pPr>
      <w:hyperlink r:id="rId5" w:anchor="article-info" w:history="1">
        <w:r w:rsidRPr="00846256">
          <w:rPr>
            <w:rFonts w:ascii="Merriweather Sans" w:eastAsia="Times New Roman" w:hAnsi="Merriweather Sans" w:cs="Mangal"/>
            <w:color w:val="000000" w:themeColor="text1"/>
            <w:kern w:val="0"/>
            <w:sz w:val="20"/>
            <w:szCs w:val="20"/>
            <w:u w:val="single"/>
            <w14:ligatures w14:val="none"/>
          </w:rPr>
          <w:t>Published: 17 January 2018</w:t>
        </w:r>
      </w:hyperlink>
    </w:p>
    <w:p w14:paraId="2EC0E7FC" w14:textId="77777777" w:rsidR="00846256" w:rsidRPr="00846256" w:rsidRDefault="00846256" w:rsidP="00846256">
      <w:pPr>
        <w:numPr>
          <w:ilvl w:val="0"/>
          <w:numId w:val="2"/>
        </w:numPr>
        <w:pBdr>
          <w:left w:val="single" w:sz="6" w:space="6" w:color="FFFFFF"/>
        </w:pBdr>
        <w:spacing w:after="120" w:line="240" w:lineRule="auto"/>
        <w:ind w:left="585" w:right="255"/>
        <w:rPr>
          <w:rFonts w:ascii="Merriweather Sans" w:eastAsia="Times New Roman" w:hAnsi="Merriweather Sans" w:cs="Mangal"/>
          <w:color w:val="000000" w:themeColor="text1"/>
          <w:kern w:val="0"/>
          <w:sz w:val="20"/>
          <w:szCs w:val="20"/>
          <w14:ligatures w14:val="none"/>
        </w:rPr>
      </w:pPr>
      <w:r w:rsidRPr="00846256">
        <w:rPr>
          <w:rFonts w:ascii="Merriweather Sans" w:eastAsia="Times New Roman" w:hAnsi="Merriweather Sans" w:cs="Mangal"/>
          <w:color w:val="000000" w:themeColor="text1"/>
          <w:kern w:val="0"/>
          <w:sz w:val="20"/>
          <w:szCs w:val="20"/>
          <w14:ligatures w14:val="none"/>
        </w:rPr>
        <w:t>Volume 58, pages 433–453, (2019)</w:t>
      </w:r>
    </w:p>
    <w:p w14:paraId="39906F5C" w14:textId="77777777" w:rsidR="00846256" w:rsidRPr="00846256" w:rsidRDefault="00846256" w:rsidP="00846256">
      <w:pPr>
        <w:numPr>
          <w:ilvl w:val="0"/>
          <w:numId w:val="2"/>
        </w:numPr>
        <w:spacing w:after="120" w:line="240" w:lineRule="auto"/>
        <w:ind w:left="585" w:right="255"/>
        <w:rPr>
          <w:rFonts w:ascii="Merriweather Sans" w:eastAsia="Times New Roman" w:hAnsi="Merriweather Sans" w:cs="Mangal"/>
          <w:color w:val="000000" w:themeColor="text1"/>
          <w:kern w:val="0"/>
          <w:sz w:val="20"/>
          <w:szCs w:val="20"/>
          <w14:ligatures w14:val="none"/>
        </w:rPr>
      </w:pPr>
      <w:hyperlink r:id="rId6" w:anchor="citeas" w:history="1">
        <w:r w:rsidRPr="00846256">
          <w:rPr>
            <w:rFonts w:ascii="Merriweather Sans" w:eastAsia="Times New Roman" w:hAnsi="Merriweather Sans" w:cs="Mangal"/>
            <w:color w:val="000000" w:themeColor="text1"/>
            <w:kern w:val="0"/>
            <w:sz w:val="20"/>
            <w:szCs w:val="20"/>
            <w:u w:val="single"/>
            <w14:ligatures w14:val="none"/>
          </w:rPr>
          <w:t>Cite this article</w:t>
        </w:r>
      </w:hyperlink>
    </w:p>
    <w:p w14:paraId="750CFAD4" w14:textId="7B0B5744" w:rsidR="00846256" w:rsidRPr="00846256" w:rsidRDefault="00846256" w:rsidP="00846256">
      <w:pPr>
        <w:spacing w:after="0" w:line="240" w:lineRule="auto"/>
        <w:rPr>
          <w:rFonts w:ascii="Merriweather Sans" w:eastAsia="Times New Roman" w:hAnsi="Merriweather Sans" w:cs="Mangal"/>
          <w:color w:val="FFFFFF"/>
          <w:kern w:val="0"/>
          <w:sz w:val="20"/>
          <w:szCs w:val="20"/>
          <w14:ligatures w14:val="none"/>
        </w:rPr>
      </w:pPr>
      <w:hyperlink r:id="rId7" w:history="1">
        <w:r w:rsidRPr="00846256">
          <w:rPr>
            <w:rFonts w:ascii="Merriweather Sans" w:eastAsia="Times New Roman" w:hAnsi="Merriweather Sans" w:cs="Mangal"/>
            <w:b/>
            <w:bCs/>
            <w:noProof/>
            <w:color w:val="FFFFFF"/>
            <w:kern w:val="0"/>
            <w:sz w:val="20"/>
            <w:szCs w:val="20"/>
            <w14:ligatures w14:val="none"/>
          </w:rPr>
          <w:drawing>
            <wp:inline distT="0" distB="0" distL="0" distR="0" wp14:anchorId="0D58F8D9" wp14:editId="1FD64B16">
              <wp:extent cx="1143000" cy="1527175"/>
              <wp:effectExtent l="0" t="0" r="0" b="0"/>
              <wp:docPr id="26860576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527175"/>
                      </a:xfrm>
                      <a:prstGeom prst="rect">
                        <a:avLst/>
                      </a:prstGeom>
                      <a:noFill/>
                      <a:ln>
                        <a:noFill/>
                      </a:ln>
                    </pic:spPr>
                  </pic:pic>
                </a:graphicData>
              </a:graphic>
            </wp:inline>
          </w:drawing>
        </w:r>
        <w:r w:rsidRPr="00846256">
          <w:rPr>
            <w:rFonts w:ascii="Merriweather Sans" w:eastAsia="Times New Roman" w:hAnsi="Merriweather Sans" w:cs="Mangal"/>
            <w:b/>
            <w:bCs/>
            <w:color w:val="FFFFFF"/>
            <w:kern w:val="0"/>
            <w:sz w:val="20"/>
            <w:szCs w:val="20"/>
            <w:u w:val="single"/>
            <w14:ligatures w14:val="none"/>
          </w:rPr>
          <w:t xml:space="preserve">European Journal of </w:t>
        </w:r>
        <w:proofErr w:type="spellStart"/>
        <w:r w:rsidRPr="00846256">
          <w:rPr>
            <w:rFonts w:ascii="Merriweather Sans" w:eastAsia="Times New Roman" w:hAnsi="Merriweather Sans" w:cs="Mangal"/>
            <w:b/>
            <w:bCs/>
            <w:color w:val="FFFFFF"/>
            <w:kern w:val="0"/>
            <w:sz w:val="20"/>
            <w:szCs w:val="20"/>
            <w:u w:val="single"/>
            <w14:ligatures w14:val="none"/>
          </w:rPr>
          <w:t>Nutrition</w:t>
        </w:r>
      </w:hyperlink>
      <w:hyperlink r:id="rId9" w:history="1">
        <w:r w:rsidRPr="00846256">
          <w:rPr>
            <w:rFonts w:ascii="Merriweather Sans" w:eastAsia="Times New Roman" w:hAnsi="Merriweather Sans" w:cs="Mangal"/>
            <w:color w:val="FFFFFF"/>
            <w:kern w:val="0"/>
            <w:sz w:val="20"/>
            <w:szCs w:val="20"/>
            <w:u w:val="single"/>
            <w14:ligatures w14:val="none"/>
          </w:rPr>
          <w:t>Aims</w:t>
        </w:r>
        <w:proofErr w:type="spellEnd"/>
        <w:r w:rsidRPr="00846256">
          <w:rPr>
            <w:rFonts w:ascii="Merriweather Sans" w:eastAsia="Times New Roman" w:hAnsi="Merriweather Sans" w:cs="Mangal"/>
            <w:color w:val="FFFFFF"/>
            <w:kern w:val="0"/>
            <w:sz w:val="20"/>
            <w:szCs w:val="20"/>
            <w:u w:val="single"/>
            <w14:ligatures w14:val="none"/>
          </w:rPr>
          <w:t xml:space="preserve"> and </w:t>
        </w:r>
        <w:proofErr w:type="spellStart"/>
        <w:r w:rsidRPr="00846256">
          <w:rPr>
            <w:rFonts w:ascii="Merriweather Sans" w:eastAsia="Times New Roman" w:hAnsi="Merriweather Sans" w:cs="Mangal"/>
            <w:color w:val="FFFFFF"/>
            <w:kern w:val="0"/>
            <w:sz w:val="20"/>
            <w:szCs w:val="20"/>
            <w:u w:val="single"/>
            <w14:ligatures w14:val="none"/>
          </w:rPr>
          <w:t>scope</w:t>
        </w:r>
      </w:hyperlink>
      <w:hyperlink r:id="rId10" w:history="1">
        <w:r w:rsidRPr="00846256">
          <w:rPr>
            <w:rFonts w:ascii="Merriweather Sans" w:eastAsia="Times New Roman" w:hAnsi="Merriweather Sans" w:cs="Mangal"/>
            <w:color w:val="FFFFFF"/>
            <w:kern w:val="0"/>
            <w:sz w:val="20"/>
            <w:szCs w:val="20"/>
            <w:u w:val="single"/>
            <w14:ligatures w14:val="none"/>
          </w:rPr>
          <w:t>Submit</w:t>
        </w:r>
        <w:proofErr w:type="spellEnd"/>
        <w:r w:rsidRPr="00846256">
          <w:rPr>
            <w:rFonts w:ascii="Merriweather Sans" w:eastAsia="Times New Roman" w:hAnsi="Merriweather Sans" w:cs="Mangal"/>
            <w:color w:val="FFFFFF"/>
            <w:kern w:val="0"/>
            <w:sz w:val="20"/>
            <w:szCs w:val="20"/>
            <w:u w:val="single"/>
            <w14:ligatures w14:val="none"/>
          </w:rPr>
          <w:t xml:space="preserve"> manuscript</w:t>
        </w:r>
      </w:hyperlink>
    </w:p>
    <w:p w14:paraId="0DFF9220" w14:textId="77777777" w:rsidR="00846256" w:rsidRPr="00846256" w:rsidRDefault="00846256" w:rsidP="00846256">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1" w:anchor="auth-Kevin_D_-Cashman-Aff1-Aff2-Aff3" w:history="1">
        <w:r w:rsidRPr="00846256">
          <w:rPr>
            <w:rFonts w:ascii="Merriweather Sans" w:eastAsia="Times New Roman" w:hAnsi="Merriweather Sans" w:cs="Mangal"/>
            <w:color w:val="222222"/>
            <w:kern w:val="0"/>
            <w:sz w:val="27"/>
            <w:szCs w:val="27"/>
            <w:u w:val="single"/>
            <w14:ligatures w14:val="none"/>
          </w:rPr>
          <w:t>Kevin D. Cashman</w:t>
        </w:r>
      </w:hyperlink>
      <w:r w:rsidRPr="00846256">
        <w:rPr>
          <w:rFonts w:ascii="Merriweather Sans" w:eastAsia="Times New Roman" w:hAnsi="Merriweather Sans" w:cs="Mangal"/>
          <w:color w:val="222222"/>
          <w:kern w:val="0"/>
          <w:sz w:val="27"/>
          <w:szCs w:val="27"/>
          <w14:ligatures w14:val="none"/>
        </w:rPr>
        <w:t>, </w:t>
      </w:r>
    </w:p>
    <w:p w14:paraId="209599E3" w14:textId="77777777" w:rsidR="00846256" w:rsidRPr="00846256" w:rsidRDefault="00846256" w:rsidP="00846256">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2" w:anchor="auth-Tony-Sheehy-Aff2" w:history="1">
        <w:r w:rsidRPr="00846256">
          <w:rPr>
            <w:rFonts w:ascii="Merriweather Sans" w:eastAsia="Times New Roman" w:hAnsi="Merriweather Sans" w:cs="Mangal"/>
            <w:color w:val="222222"/>
            <w:kern w:val="0"/>
            <w:sz w:val="27"/>
            <w:szCs w:val="27"/>
            <w:u w:val="single"/>
            <w14:ligatures w14:val="none"/>
          </w:rPr>
          <w:t>Tony Sheehy</w:t>
        </w:r>
      </w:hyperlink>
      <w:r w:rsidRPr="00846256">
        <w:rPr>
          <w:rFonts w:ascii="Merriweather Sans" w:eastAsia="Times New Roman" w:hAnsi="Merriweather Sans" w:cs="Mangal"/>
          <w:color w:val="222222"/>
          <w:kern w:val="0"/>
          <w:sz w:val="27"/>
          <w:szCs w:val="27"/>
          <w14:ligatures w14:val="none"/>
        </w:rPr>
        <w:t> &amp; </w:t>
      </w:r>
    </w:p>
    <w:p w14:paraId="263D5F26" w14:textId="77777777" w:rsidR="00846256" w:rsidRPr="00846256" w:rsidRDefault="00846256" w:rsidP="00846256">
      <w:pPr>
        <w:numPr>
          <w:ilvl w:val="0"/>
          <w:numId w:val="3"/>
        </w:numPr>
        <w:shd w:val="clear" w:color="auto" w:fill="FFFFFF"/>
        <w:spacing w:before="100" w:beforeAutospacing="1" w:after="100" w:afterAutospacing="1" w:line="240" w:lineRule="auto"/>
        <w:ind w:right="120"/>
        <w:rPr>
          <w:rFonts w:ascii="Merriweather Sans" w:eastAsia="Times New Roman" w:hAnsi="Merriweather Sans" w:cs="Mangal"/>
          <w:color w:val="222222"/>
          <w:kern w:val="0"/>
          <w:sz w:val="27"/>
          <w:szCs w:val="27"/>
          <w14:ligatures w14:val="none"/>
        </w:rPr>
      </w:pPr>
      <w:hyperlink r:id="rId13" w:anchor="auth-Colette_M_-O_Neill-Aff1" w:history="1">
        <w:r w:rsidRPr="00846256">
          <w:rPr>
            <w:rFonts w:ascii="Merriweather Sans" w:eastAsia="Times New Roman" w:hAnsi="Merriweather Sans" w:cs="Mangal"/>
            <w:color w:val="222222"/>
            <w:kern w:val="0"/>
            <w:sz w:val="27"/>
            <w:szCs w:val="27"/>
            <w:u w:val="single"/>
            <w14:ligatures w14:val="none"/>
          </w:rPr>
          <w:t>Colette M. O’Neill</w:t>
        </w:r>
      </w:hyperlink>
      <w:r w:rsidRPr="00846256">
        <w:rPr>
          <w:rFonts w:ascii="Merriweather Sans" w:eastAsia="Times New Roman" w:hAnsi="Merriweather Sans" w:cs="Mangal"/>
          <w:color w:val="222222"/>
          <w:kern w:val="0"/>
          <w:sz w:val="27"/>
          <w:szCs w:val="27"/>
          <w14:ligatures w14:val="none"/>
        </w:rPr>
        <w:t> </w:t>
      </w:r>
    </w:p>
    <w:p w14:paraId="1B780BCD" w14:textId="77777777" w:rsidR="00846256" w:rsidRPr="00846256" w:rsidRDefault="00846256" w:rsidP="00846256">
      <w:pPr>
        <w:numPr>
          <w:ilvl w:val="0"/>
          <w:numId w:val="4"/>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2195 </w:t>
      </w:r>
      <w:r w:rsidRPr="00846256">
        <w:rPr>
          <w:rFonts w:ascii="Merriweather Sans" w:eastAsia="Times New Roman" w:hAnsi="Merriweather Sans" w:cs="Mangal"/>
          <w:color w:val="222222"/>
          <w:kern w:val="0"/>
          <w:sz w:val="27"/>
          <w:szCs w:val="27"/>
          <w14:ligatures w14:val="none"/>
        </w:rPr>
        <w:t>Accesses</w:t>
      </w:r>
    </w:p>
    <w:p w14:paraId="67696687" w14:textId="77777777" w:rsidR="00846256" w:rsidRPr="00846256" w:rsidRDefault="00846256" w:rsidP="00846256">
      <w:pPr>
        <w:numPr>
          <w:ilvl w:val="0"/>
          <w:numId w:val="4"/>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57 </w:t>
      </w:r>
      <w:r w:rsidRPr="00846256">
        <w:rPr>
          <w:rFonts w:ascii="Merriweather Sans" w:eastAsia="Times New Roman" w:hAnsi="Merriweather Sans" w:cs="Mangal"/>
          <w:color w:val="222222"/>
          <w:kern w:val="0"/>
          <w:sz w:val="27"/>
          <w:szCs w:val="27"/>
          <w14:ligatures w14:val="none"/>
        </w:rPr>
        <w:t>Citations</w:t>
      </w:r>
    </w:p>
    <w:p w14:paraId="518F2594" w14:textId="77777777" w:rsidR="00846256" w:rsidRPr="00846256" w:rsidRDefault="00846256" w:rsidP="00846256">
      <w:pPr>
        <w:numPr>
          <w:ilvl w:val="0"/>
          <w:numId w:val="4"/>
        </w:numPr>
        <w:shd w:val="clear" w:color="auto" w:fill="FFFFFF"/>
        <w:spacing w:after="0" w:line="240" w:lineRule="auto"/>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18 </w:t>
      </w:r>
      <w:proofErr w:type="spellStart"/>
      <w:r w:rsidRPr="00846256">
        <w:rPr>
          <w:rFonts w:ascii="Merriweather Sans" w:eastAsia="Times New Roman" w:hAnsi="Merriweather Sans" w:cs="Mangal"/>
          <w:color w:val="222222"/>
          <w:kern w:val="0"/>
          <w:sz w:val="27"/>
          <w:szCs w:val="27"/>
          <w14:ligatures w14:val="none"/>
        </w:rPr>
        <w:t>Altmetric</w:t>
      </w:r>
      <w:proofErr w:type="spellEnd"/>
    </w:p>
    <w:p w14:paraId="7BA1851D" w14:textId="77777777" w:rsidR="00846256" w:rsidRPr="00846256" w:rsidRDefault="00846256" w:rsidP="00846256">
      <w:pPr>
        <w:numPr>
          <w:ilvl w:val="0"/>
          <w:numId w:val="4"/>
        </w:numPr>
        <w:shd w:val="clear" w:color="auto" w:fill="FFFFFF"/>
        <w:spacing w:line="240" w:lineRule="auto"/>
        <w:rPr>
          <w:rFonts w:ascii="Merriweather Sans" w:eastAsia="Times New Roman" w:hAnsi="Merriweather Sans" w:cs="Mangal"/>
          <w:color w:val="222222"/>
          <w:kern w:val="0"/>
          <w:sz w:val="27"/>
          <w:szCs w:val="27"/>
          <w14:ligatures w14:val="none"/>
        </w:rPr>
      </w:pPr>
      <w:hyperlink r:id="rId14" w:history="1">
        <w:r w:rsidRPr="00846256">
          <w:rPr>
            <w:rFonts w:ascii="Merriweather Sans" w:eastAsia="Times New Roman" w:hAnsi="Merriweather Sans" w:cs="Mangal"/>
            <w:color w:val="222222"/>
            <w:kern w:val="0"/>
            <w:sz w:val="27"/>
            <w:szCs w:val="27"/>
            <w:u w:val="single"/>
            <w14:ligatures w14:val="none"/>
          </w:rPr>
          <w:t>Explore all metrics </w:t>
        </w:r>
      </w:hyperlink>
    </w:p>
    <w:p w14:paraId="7E7CAE61" w14:textId="77777777" w:rsidR="00846256" w:rsidRPr="00846256" w:rsidRDefault="00846256" w:rsidP="00846256">
      <w:pPr>
        <w:pBdr>
          <w:bottom w:val="single" w:sz="6" w:space="6" w:color="CEDBE0"/>
        </w:pBdr>
        <w:shd w:val="clear" w:color="auto" w:fill="FFFFFF"/>
        <w:spacing w:after="240" w:line="240" w:lineRule="auto"/>
        <w:outlineLvl w:val="1"/>
        <w:rPr>
          <w:rFonts w:ascii="Merriweather Sans" w:eastAsia="Times New Roman" w:hAnsi="Merriweather Sans" w:cs="Mangal"/>
          <w:b/>
          <w:bCs/>
          <w:color w:val="222222"/>
          <w:kern w:val="0"/>
          <w:sz w:val="36"/>
          <w:szCs w:val="36"/>
          <w14:ligatures w14:val="none"/>
        </w:rPr>
      </w:pPr>
      <w:r w:rsidRPr="00846256">
        <w:rPr>
          <w:rFonts w:ascii="Merriweather Sans" w:eastAsia="Times New Roman" w:hAnsi="Merriweather Sans" w:cs="Mangal"/>
          <w:b/>
          <w:bCs/>
          <w:color w:val="222222"/>
          <w:kern w:val="0"/>
          <w:sz w:val="36"/>
          <w:szCs w:val="36"/>
          <w14:ligatures w14:val="none"/>
        </w:rPr>
        <w:t>Abstract</w:t>
      </w:r>
    </w:p>
    <w:p w14:paraId="103AC164" w14:textId="77777777" w:rsidR="00846256" w:rsidRPr="00846256" w:rsidRDefault="00846256" w:rsidP="00846256">
      <w:pPr>
        <w:shd w:val="clear" w:color="auto" w:fill="FFFFFF"/>
        <w:spacing w:after="120" w:line="240" w:lineRule="auto"/>
        <w:outlineLvl w:val="2"/>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Purpose</w:t>
      </w:r>
    </w:p>
    <w:p w14:paraId="3919E070" w14:textId="77777777" w:rsidR="00846256" w:rsidRPr="00846256" w:rsidRDefault="00846256" w:rsidP="00846256">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846256">
        <w:rPr>
          <w:rFonts w:ascii="Merriweather Sans" w:eastAsia="Times New Roman" w:hAnsi="Merriweather Sans" w:cs="Mangal"/>
          <w:color w:val="222222"/>
          <w:kern w:val="0"/>
          <w:sz w:val="27"/>
          <w:szCs w:val="27"/>
          <w14:ligatures w14:val="none"/>
        </w:rPr>
        <w:t>Vitamin D deficiency has been receiving increasing attention as a potential public health concern in low and lower-middle income countries (LMICs), of which there are currently 83. We aimed to conduct a comprehensive systematic literature review (SLR) of available data on vitamin D status and prevalence of vitamin D deficiency in all 83 LMICs.</w:t>
      </w:r>
    </w:p>
    <w:p w14:paraId="30C3EAA0" w14:textId="77777777" w:rsidR="00846256" w:rsidRPr="00846256" w:rsidRDefault="00846256" w:rsidP="00846256">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lastRenderedPageBreak/>
        <w:t>Methods</w:t>
      </w:r>
    </w:p>
    <w:p w14:paraId="670CCFF8" w14:textId="77777777" w:rsidR="00846256" w:rsidRPr="00846256" w:rsidRDefault="00846256" w:rsidP="00846256">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846256">
        <w:rPr>
          <w:rFonts w:ascii="Merriweather Sans" w:eastAsia="Times New Roman" w:hAnsi="Merriweather Sans" w:cs="Mangal"/>
          <w:color w:val="222222"/>
          <w:kern w:val="0"/>
          <w:sz w:val="27"/>
          <w:szCs w:val="27"/>
          <w14:ligatures w14:val="none"/>
        </w:rPr>
        <w:t xml:space="preserve">We followed the general methodology for SLRs </w:t>
      </w:r>
      <w:proofErr w:type="gramStart"/>
      <w:r w:rsidRPr="00846256">
        <w:rPr>
          <w:rFonts w:ascii="Merriweather Sans" w:eastAsia="Times New Roman" w:hAnsi="Merriweather Sans" w:cs="Mangal"/>
          <w:color w:val="222222"/>
          <w:kern w:val="0"/>
          <w:sz w:val="27"/>
          <w:szCs w:val="27"/>
          <w14:ligatures w14:val="none"/>
        </w:rPr>
        <w:t>in the area of</w:t>
      </w:r>
      <w:proofErr w:type="gramEnd"/>
      <w:r w:rsidRPr="00846256">
        <w:rPr>
          <w:rFonts w:ascii="Merriweather Sans" w:eastAsia="Times New Roman" w:hAnsi="Merriweather Sans" w:cs="Mangal"/>
          <w:color w:val="222222"/>
          <w:kern w:val="0"/>
          <w:sz w:val="27"/>
          <w:szCs w:val="27"/>
          <w14:ligatures w14:val="none"/>
        </w:rPr>
        <w:t xml:space="preserve"> serum 25-hydroxyvitamin D. Highest priority was placed on identifying relevant population-based studies, followed by cross-sectional studies, and to a lesser extent case-control studies. We adopted the public health convention that a prevalence of vitamin D deficiency (serum 25-hydroxyvitamin D &lt; 25/30 nmol/L) at &gt; 20% in the entire population and/or at-risk population subgroups (infants, children, women of child-bearing age, pregnancy) constitutes a public health issue that may warrant intervention.</w:t>
      </w:r>
    </w:p>
    <w:p w14:paraId="719340BF" w14:textId="77777777" w:rsidR="00846256" w:rsidRPr="00846256" w:rsidRDefault="00846256" w:rsidP="00846256">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Results</w:t>
      </w:r>
    </w:p>
    <w:p w14:paraId="3927CF8E" w14:textId="77777777" w:rsidR="00846256" w:rsidRPr="00846256" w:rsidRDefault="00846256" w:rsidP="00846256">
      <w:pPr>
        <w:shd w:val="clear" w:color="auto" w:fill="FFFFFF"/>
        <w:spacing w:after="480" w:line="240" w:lineRule="auto"/>
        <w:rPr>
          <w:rFonts w:ascii="Merriweather Sans" w:eastAsia="Times New Roman" w:hAnsi="Merriweather Sans" w:cs="Mangal"/>
          <w:color w:val="222222"/>
          <w:kern w:val="0"/>
          <w:sz w:val="27"/>
          <w:szCs w:val="27"/>
          <w14:ligatures w14:val="none"/>
        </w:rPr>
      </w:pPr>
      <w:r w:rsidRPr="00846256">
        <w:rPr>
          <w:rFonts w:ascii="Merriweather Sans" w:eastAsia="Times New Roman" w:hAnsi="Merriweather Sans" w:cs="Mangal"/>
          <w:color w:val="222222"/>
          <w:kern w:val="0"/>
          <w:sz w:val="27"/>
          <w:szCs w:val="27"/>
          <w14:ligatures w14:val="none"/>
        </w:rPr>
        <w:t>Our SLR revealed that of the 83 LMICs, 65% (</w:t>
      </w:r>
      <w:r w:rsidRPr="00846256">
        <w:rPr>
          <w:rFonts w:ascii="Merriweather Sans" w:eastAsia="Times New Roman" w:hAnsi="Merriweather Sans" w:cs="Mangal"/>
          <w:i/>
          <w:iCs/>
          <w:color w:val="222222"/>
          <w:kern w:val="0"/>
          <w:sz w:val="27"/>
          <w:szCs w:val="27"/>
          <w14:ligatures w14:val="none"/>
        </w:rPr>
        <w:t>n</w:t>
      </w:r>
      <w:r w:rsidRPr="00846256">
        <w:rPr>
          <w:rFonts w:ascii="Merriweather Sans" w:eastAsia="Times New Roman" w:hAnsi="Merriweather Sans" w:cs="Mangal"/>
          <w:color w:val="222222"/>
          <w:kern w:val="0"/>
          <w:sz w:val="27"/>
          <w:szCs w:val="27"/>
          <w14:ligatures w14:val="none"/>
        </w:rPr>
        <w:t xml:space="preserve"> = 54 countries) had no published studies with vitamin D data suitable for inclusion. Using data from the remaining third, </w:t>
      </w:r>
      <w:proofErr w:type="gramStart"/>
      <w:r w:rsidRPr="00846256">
        <w:rPr>
          <w:rFonts w:ascii="Merriweather Sans" w:eastAsia="Times New Roman" w:hAnsi="Merriweather Sans" w:cs="Mangal"/>
          <w:color w:val="222222"/>
          <w:kern w:val="0"/>
          <w:sz w:val="27"/>
          <w:szCs w:val="27"/>
          <w14:ligatures w14:val="none"/>
        </w:rPr>
        <w:t>a number of</w:t>
      </w:r>
      <w:proofErr w:type="gramEnd"/>
      <w:r w:rsidRPr="00846256">
        <w:rPr>
          <w:rFonts w:ascii="Merriweather Sans" w:eastAsia="Times New Roman" w:hAnsi="Merriweather Sans" w:cs="Mangal"/>
          <w:color w:val="222222"/>
          <w:kern w:val="0"/>
          <w:sz w:val="27"/>
          <w:szCs w:val="27"/>
          <w14:ligatures w14:val="none"/>
        </w:rPr>
        <w:t xml:space="preserve"> LMICs had evidence of excess burden of vitamin D deficiency in one or more population subgroup(s) using the above convention (Afghanistan, Pakistan, India, Tunisia and Mongolia) as well as possibly other LMICs, albeit with much more limited data. Several LMICs had no evidence of excess burden.</w:t>
      </w:r>
    </w:p>
    <w:p w14:paraId="47525147" w14:textId="77777777" w:rsidR="00846256" w:rsidRPr="00846256" w:rsidRDefault="00846256" w:rsidP="00846256">
      <w:pPr>
        <w:shd w:val="clear" w:color="auto" w:fill="FFFFFF"/>
        <w:spacing w:before="360" w:after="120" w:line="240" w:lineRule="auto"/>
        <w:outlineLvl w:val="2"/>
        <w:rPr>
          <w:rFonts w:ascii="Merriweather Sans" w:eastAsia="Times New Roman" w:hAnsi="Merriweather Sans" w:cs="Mangal"/>
          <w:b/>
          <w:bCs/>
          <w:color w:val="222222"/>
          <w:kern w:val="0"/>
          <w:sz w:val="27"/>
          <w:szCs w:val="27"/>
          <w14:ligatures w14:val="none"/>
        </w:rPr>
      </w:pPr>
      <w:r w:rsidRPr="00846256">
        <w:rPr>
          <w:rFonts w:ascii="Merriweather Sans" w:eastAsia="Times New Roman" w:hAnsi="Merriweather Sans" w:cs="Mangal"/>
          <w:b/>
          <w:bCs/>
          <w:color w:val="222222"/>
          <w:kern w:val="0"/>
          <w:sz w:val="27"/>
          <w:szCs w:val="27"/>
          <w14:ligatures w14:val="none"/>
        </w:rPr>
        <w:t>Conclusion</w:t>
      </w:r>
    </w:p>
    <w:p w14:paraId="3C04F0B4" w14:textId="77777777" w:rsidR="00846256" w:rsidRPr="00846256" w:rsidRDefault="00846256" w:rsidP="00846256">
      <w:pPr>
        <w:shd w:val="clear" w:color="auto" w:fill="FFFFFF"/>
        <w:spacing w:line="240" w:lineRule="auto"/>
        <w:rPr>
          <w:rFonts w:ascii="Merriweather Sans" w:eastAsia="Times New Roman" w:hAnsi="Merriweather Sans" w:cs="Mangal"/>
          <w:color w:val="222222"/>
          <w:kern w:val="0"/>
          <w:sz w:val="27"/>
          <w:szCs w:val="27"/>
          <w14:ligatures w14:val="none"/>
        </w:rPr>
      </w:pPr>
      <w:r w:rsidRPr="00846256">
        <w:rPr>
          <w:rFonts w:ascii="Merriweather Sans" w:eastAsia="Times New Roman" w:hAnsi="Merriweather Sans" w:cs="Mangal"/>
          <w:color w:val="222222"/>
          <w:kern w:val="0"/>
          <w:sz w:val="27"/>
          <w:szCs w:val="27"/>
          <w14:ligatures w14:val="none"/>
        </w:rPr>
        <w:t>Vitamin D deficiency is a public health issue in some, but certainly not all, LMICs. There is a clear need for targeting public health strategies for prevention of vitamin D deficiency in those LMICs with excess burden.</w:t>
      </w:r>
    </w:p>
    <w:p w14:paraId="47C1419F" w14:textId="77777777" w:rsidR="00846256" w:rsidRPr="00846256" w:rsidRDefault="00846256" w:rsidP="00846256"/>
    <w:sectPr w:rsidR="00846256" w:rsidRPr="0084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3EEF"/>
    <w:multiLevelType w:val="multilevel"/>
    <w:tmpl w:val="2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18CC"/>
    <w:multiLevelType w:val="multilevel"/>
    <w:tmpl w:val="0A7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A3DAF"/>
    <w:multiLevelType w:val="multilevel"/>
    <w:tmpl w:val="4E3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209E5"/>
    <w:multiLevelType w:val="multilevel"/>
    <w:tmpl w:val="99E2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439506">
    <w:abstractNumId w:val="2"/>
  </w:num>
  <w:num w:numId="2" w16cid:durableId="329211881">
    <w:abstractNumId w:val="0"/>
  </w:num>
  <w:num w:numId="3" w16cid:durableId="230850481">
    <w:abstractNumId w:val="3"/>
  </w:num>
  <w:num w:numId="4" w16cid:durableId="22560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56"/>
    <w:rsid w:val="008462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6463"/>
  <w15:chartTrackingRefBased/>
  <w15:docId w15:val="{DD9F5802-713D-4DEB-BD7F-549D81EC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8462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846256"/>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4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8462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8462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4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56"/>
    <w:rPr>
      <w:rFonts w:eastAsiaTheme="majorEastAsia" w:cstheme="majorBidi"/>
      <w:color w:val="272727" w:themeColor="text1" w:themeTint="D8"/>
    </w:rPr>
  </w:style>
  <w:style w:type="paragraph" w:styleId="Title">
    <w:name w:val="Title"/>
    <w:basedOn w:val="Normal"/>
    <w:next w:val="Normal"/>
    <w:link w:val="TitleChar"/>
    <w:uiPriority w:val="10"/>
    <w:qFormat/>
    <w:rsid w:val="008462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462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462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462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6256"/>
    <w:pPr>
      <w:spacing w:before="160"/>
      <w:jc w:val="center"/>
    </w:pPr>
    <w:rPr>
      <w:i/>
      <w:iCs/>
      <w:color w:val="404040" w:themeColor="text1" w:themeTint="BF"/>
    </w:rPr>
  </w:style>
  <w:style w:type="character" w:customStyle="1" w:styleId="QuoteChar">
    <w:name w:val="Quote Char"/>
    <w:basedOn w:val="DefaultParagraphFont"/>
    <w:link w:val="Quote"/>
    <w:uiPriority w:val="29"/>
    <w:rsid w:val="00846256"/>
    <w:rPr>
      <w:i/>
      <w:iCs/>
      <w:color w:val="404040" w:themeColor="text1" w:themeTint="BF"/>
    </w:rPr>
  </w:style>
  <w:style w:type="paragraph" w:styleId="ListParagraph">
    <w:name w:val="List Paragraph"/>
    <w:basedOn w:val="Normal"/>
    <w:uiPriority w:val="34"/>
    <w:qFormat/>
    <w:rsid w:val="00846256"/>
    <w:pPr>
      <w:ind w:left="720"/>
      <w:contextualSpacing/>
    </w:pPr>
  </w:style>
  <w:style w:type="character" w:styleId="IntenseEmphasis">
    <w:name w:val="Intense Emphasis"/>
    <w:basedOn w:val="DefaultParagraphFont"/>
    <w:uiPriority w:val="21"/>
    <w:qFormat/>
    <w:rsid w:val="00846256"/>
    <w:rPr>
      <w:i/>
      <w:iCs/>
      <w:color w:val="0F4761" w:themeColor="accent1" w:themeShade="BF"/>
    </w:rPr>
  </w:style>
  <w:style w:type="paragraph" w:styleId="IntenseQuote">
    <w:name w:val="Intense Quote"/>
    <w:basedOn w:val="Normal"/>
    <w:next w:val="Normal"/>
    <w:link w:val="IntenseQuoteChar"/>
    <w:uiPriority w:val="30"/>
    <w:qFormat/>
    <w:rsid w:val="0084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56"/>
    <w:rPr>
      <w:i/>
      <w:iCs/>
      <w:color w:val="0F4761" w:themeColor="accent1" w:themeShade="BF"/>
    </w:rPr>
  </w:style>
  <w:style w:type="character" w:styleId="IntenseReference">
    <w:name w:val="Intense Reference"/>
    <w:basedOn w:val="DefaultParagraphFont"/>
    <w:uiPriority w:val="32"/>
    <w:qFormat/>
    <w:rsid w:val="00846256"/>
    <w:rPr>
      <w:b/>
      <w:bCs/>
      <w:smallCaps/>
      <w:color w:val="0F4761" w:themeColor="accent1" w:themeShade="BF"/>
      <w:spacing w:val="5"/>
    </w:rPr>
  </w:style>
  <w:style w:type="paragraph" w:customStyle="1" w:styleId="c-article-identifiersitem">
    <w:name w:val="c-article-identifiers__item"/>
    <w:basedOn w:val="Normal"/>
    <w:rsid w:val="00846256"/>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846256"/>
    <w:rPr>
      <w:color w:val="0000FF"/>
      <w:u w:val="single"/>
    </w:rPr>
  </w:style>
  <w:style w:type="character" w:customStyle="1" w:styleId="app-article-mastheadjournal-title">
    <w:name w:val="app-article-masthead__journal-title"/>
    <w:basedOn w:val="DefaultParagraphFont"/>
    <w:rsid w:val="00846256"/>
  </w:style>
  <w:style w:type="paragraph" w:customStyle="1" w:styleId="c-article-author-listitem">
    <w:name w:val="c-article-author-list__item"/>
    <w:basedOn w:val="Normal"/>
    <w:rsid w:val="00846256"/>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app-article-metrics-barcount">
    <w:name w:val="app-article-metrics-bar__count"/>
    <w:basedOn w:val="Normal"/>
    <w:rsid w:val="00846256"/>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pp-article-metrics-barlabel">
    <w:name w:val="app-article-metrics-bar__label"/>
    <w:basedOn w:val="DefaultParagraphFont"/>
    <w:rsid w:val="00846256"/>
  </w:style>
  <w:style w:type="paragraph" w:customStyle="1" w:styleId="app-article-metrics-bardetails">
    <w:name w:val="app-article-metrics-bar__details"/>
    <w:basedOn w:val="Normal"/>
    <w:rsid w:val="00846256"/>
    <w:pPr>
      <w:spacing w:before="100" w:beforeAutospacing="1" w:after="100" w:afterAutospacing="1" w:line="240" w:lineRule="auto"/>
    </w:pPr>
    <w:rPr>
      <w:rFonts w:ascii="Mangal" w:eastAsia="Times New Roman" w:hAnsi="Mangal" w:cs="Mangal"/>
      <w:kern w:val="0"/>
      <w:sz w:val="20"/>
      <w:szCs w:val="20"/>
      <w14:ligatures w14:val="none"/>
    </w:rPr>
  </w:style>
  <w:style w:type="paragraph" w:styleId="NormalWeb">
    <w:name w:val="Normal (Web)"/>
    <w:basedOn w:val="Normal"/>
    <w:uiPriority w:val="99"/>
    <w:semiHidden/>
    <w:unhideWhenUsed/>
    <w:rsid w:val="00846256"/>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57874">
      <w:bodyDiv w:val="1"/>
      <w:marLeft w:val="0"/>
      <w:marRight w:val="0"/>
      <w:marTop w:val="0"/>
      <w:marBottom w:val="0"/>
      <w:divBdr>
        <w:top w:val="none" w:sz="0" w:space="0" w:color="auto"/>
        <w:left w:val="none" w:sz="0" w:space="0" w:color="auto"/>
        <w:bottom w:val="none" w:sz="0" w:space="0" w:color="auto"/>
        <w:right w:val="none" w:sz="0" w:space="0" w:color="auto"/>
      </w:divBdr>
      <w:divsChild>
        <w:div w:id="1660385421">
          <w:marLeft w:val="0"/>
          <w:marRight w:val="0"/>
          <w:marTop w:val="0"/>
          <w:marBottom w:val="0"/>
          <w:divBdr>
            <w:top w:val="none" w:sz="0" w:space="0" w:color="auto"/>
            <w:left w:val="none" w:sz="0" w:space="0" w:color="auto"/>
            <w:bottom w:val="none" w:sz="0" w:space="0" w:color="auto"/>
            <w:right w:val="none" w:sz="0" w:space="0" w:color="auto"/>
          </w:divBdr>
          <w:divsChild>
            <w:div w:id="937713013">
              <w:marLeft w:val="0"/>
              <w:marRight w:val="0"/>
              <w:marTop w:val="0"/>
              <w:marBottom w:val="0"/>
              <w:divBdr>
                <w:top w:val="none" w:sz="0" w:space="0" w:color="auto"/>
                <w:left w:val="none" w:sz="0" w:space="0" w:color="auto"/>
                <w:bottom w:val="none" w:sz="0" w:space="0" w:color="auto"/>
                <w:right w:val="none" w:sz="0" w:space="0" w:color="auto"/>
              </w:divBdr>
              <w:divsChild>
                <w:div w:id="1140457668">
                  <w:marLeft w:val="0"/>
                  <w:marRight w:val="0"/>
                  <w:marTop w:val="0"/>
                  <w:marBottom w:val="0"/>
                  <w:divBdr>
                    <w:top w:val="none" w:sz="0" w:space="0" w:color="auto"/>
                    <w:left w:val="none" w:sz="0" w:space="0" w:color="auto"/>
                    <w:bottom w:val="none" w:sz="0" w:space="0" w:color="auto"/>
                    <w:right w:val="none" w:sz="0" w:space="0" w:color="auto"/>
                  </w:divBdr>
                </w:div>
                <w:div w:id="1621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881">
          <w:marLeft w:val="0"/>
          <w:marRight w:val="0"/>
          <w:marTop w:val="360"/>
          <w:marBottom w:val="480"/>
          <w:divBdr>
            <w:top w:val="none" w:sz="0" w:space="0" w:color="auto"/>
            <w:left w:val="none" w:sz="0" w:space="0" w:color="auto"/>
            <w:bottom w:val="none" w:sz="0" w:space="0" w:color="auto"/>
            <w:right w:val="none" w:sz="0" w:space="0" w:color="auto"/>
          </w:divBdr>
          <w:divsChild>
            <w:div w:id="331419536">
              <w:marLeft w:val="0"/>
              <w:marRight w:val="0"/>
              <w:marTop w:val="0"/>
              <w:marBottom w:val="480"/>
              <w:divBdr>
                <w:top w:val="none" w:sz="0" w:space="0" w:color="auto"/>
                <w:left w:val="none" w:sz="0" w:space="0" w:color="auto"/>
                <w:bottom w:val="none" w:sz="0" w:space="0" w:color="auto"/>
                <w:right w:val="none" w:sz="0" w:space="0" w:color="auto"/>
              </w:divBdr>
              <w:divsChild>
                <w:div w:id="1148935512">
                  <w:marLeft w:val="0"/>
                  <w:marRight w:val="0"/>
                  <w:marTop w:val="0"/>
                  <w:marBottom w:val="0"/>
                  <w:divBdr>
                    <w:top w:val="none" w:sz="0" w:space="0" w:color="auto"/>
                    <w:left w:val="none" w:sz="0" w:space="0" w:color="auto"/>
                    <w:bottom w:val="none" w:sz="0" w:space="0" w:color="auto"/>
                    <w:right w:val="none" w:sz="0" w:space="0" w:color="auto"/>
                  </w:divBdr>
                </w:div>
              </w:divsChild>
            </w:div>
            <w:div w:id="1031613528">
              <w:marLeft w:val="0"/>
              <w:marRight w:val="0"/>
              <w:marTop w:val="0"/>
              <w:marBottom w:val="0"/>
              <w:divBdr>
                <w:top w:val="none" w:sz="0" w:space="0" w:color="auto"/>
                <w:left w:val="none" w:sz="0" w:space="0" w:color="auto"/>
                <w:bottom w:val="none" w:sz="0" w:space="0" w:color="auto"/>
                <w:right w:val="none" w:sz="0" w:space="0" w:color="auto"/>
              </w:divBdr>
              <w:divsChild>
                <w:div w:id="136535782">
                  <w:marLeft w:val="0"/>
                  <w:marRight w:val="0"/>
                  <w:marTop w:val="0"/>
                  <w:marBottom w:val="720"/>
                  <w:divBdr>
                    <w:top w:val="none" w:sz="0" w:space="0" w:color="auto"/>
                    <w:left w:val="none" w:sz="0" w:space="0" w:color="auto"/>
                    <w:bottom w:val="none" w:sz="0" w:space="0" w:color="auto"/>
                    <w:right w:val="none" w:sz="0" w:space="0" w:color="auto"/>
                  </w:divBdr>
                  <w:divsChild>
                    <w:div w:id="6427369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00394-018-1607-3" TargetMode="External"/><Relationship Id="rId3" Type="http://schemas.openxmlformats.org/officeDocument/2006/relationships/settings" Target="settings.xml"/><Relationship Id="rId7" Type="http://schemas.openxmlformats.org/officeDocument/2006/relationships/hyperlink" Target="https://link.springer.com/journal/394" TargetMode="External"/><Relationship Id="rId12" Type="http://schemas.openxmlformats.org/officeDocument/2006/relationships/hyperlink" Target="https://link.springer.com/article/10.1007/s00394-018-160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article/10.1007/s00394-018-1607-3" TargetMode="External"/><Relationship Id="rId11" Type="http://schemas.openxmlformats.org/officeDocument/2006/relationships/hyperlink" Target="https://link.springer.com/article/10.1007/s00394-018-1607-3" TargetMode="External"/><Relationship Id="rId5" Type="http://schemas.openxmlformats.org/officeDocument/2006/relationships/hyperlink" Target="https://link.springer.com/article/10.1007/s00394-018-1607-3" TargetMode="External"/><Relationship Id="rId15" Type="http://schemas.openxmlformats.org/officeDocument/2006/relationships/fontTable" Target="fontTable.xml"/><Relationship Id="rId10" Type="http://schemas.openxmlformats.org/officeDocument/2006/relationships/hyperlink" Target="https://www.editorialmanager.com/ejon/" TargetMode="External"/><Relationship Id="rId4" Type="http://schemas.openxmlformats.org/officeDocument/2006/relationships/webSettings" Target="webSettings.xml"/><Relationship Id="rId9" Type="http://schemas.openxmlformats.org/officeDocument/2006/relationships/hyperlink" Target="https://link.springer.com/journal/394/aims-and-scope" TargetMode="External"/><Relationship Id="rId14" Type="http://schemas.openxmlformats.org/officeDocument/2006/relationships/hyperlink" Target="https://link.springer.com/article/10.1007/s00394-018-1607-3/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2024-02-12T13:37:00Z</dcterms:created>
  <dcterms:modified xsi:type="dcterms:W3CDTF">2024-02-12T13:37:00Z</dcterms:modified>
</cp:coreProperties>
</file>