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FF14" w14:textId="638A5A08" w:rsidR="00E900CA" w:rsidRPr="00E900CA" w:rsidRDefault="00E900CA" w:rsidP="00E900CA">
      <w:pPr>
        <w:spacing w:line="240" w:lineRule="auto"/>
        <w:rPr>
          <w:rFonts w:ascii="Merriweather Sans" w:eastAsia="Times New Roman" w:hAnsi="Merriweather Sans" w:cs="Mangal"/>
          <w:b/>
          <w:bCs/>
          <w:color w:val="000000" w:themeColor="text1"/>
          <w:kern w:val="36"/>
          <w:sz w:val="48"/>
          <w:szCs w:val="48"/>
          <w14:ligatures w14:val="none"/>
        </w:rPr>
      </w:pPr>
      <w:r w:rsidRPr="00E900CA">
        <w:rPr>
          <w:rFonts w:ascii="Merriweather Sans" w:eastAsia="Times New Roman" w:hAnsi="Merriweather Sans" w:cs="Mangal"/>
          <w:b/>
          <w:bCs/>
          <w:color w:val="000000" w:themeColor="text1"/>
          <w:kern w:val="36"/>
          <w:sz w:val="48"/>
          <w:szCs w:val="48"/>
          <w14:ligatures w14:val="none"/>
        </w:rPr>
        <w:t>Vitamin D Status of School-Age Children in North India</w:t>
      </w:r>
    </w:p>
    <w:p w14:paraId="6CFE1F2D" w14:textId="5D4A858B" w:rsidR="00E900CA" w:rsidRPr="00E900CA" w:rsidRDefault="00E900CA" w:rsidP="00E900CA">
      <w:pPr>
        <w:spacing w:before="240" w:after="240" w:line="240" w:lineRule="auto"/>
        <w:outlineLvl w:val="0"/>
        <w:rPr>
          <w:rFonts w:ascii="Merriweather Sans" w:eastAsia="Times New Roman" w:hAnsi="Merriweather Sans" w:cs="Mangal"/>
          <w:b/>
          <w:bCs/>
          <w:color w:val="FFFFFF"/>
          <w:kern w:val="36"/>
          <w:sz w:val="48"/>
          <w:szCs w:val="48"/>
          <w14:ligatures w14:val="none"/>
        </w:rPr>
      </w:pPr>
      <w:r w:rsidRPr="00E900CA">
        <w:rPr>
          <w:rFonts w:ascii="Merriweather Sans" w:eastAsia="Times New Roman" w:hAnsi="Merriweather Sans" w:cs="Mangal"/>
          <w:b/>
          <w:bCs/>
          <w:color w:val="FFFFFF"/>
          <w:kern w:val="36"/>
          <w:sz w:val="48"/>
          <w:szCs w:val="48"/>
          <w14:ligatures w14:val="none"/>
        </w:rPr>
        <w:t>Status of School-Age Children in North India</w:t>
      </w:r>
    </w:p>
    <w:p w14:paraId="6BFEF45C" w14:textId="77777777" w:rsidR="00E900CA" w:rsidRPr="00E900CA" w:rsidRDefault="00E900CA" w:rsidP="00E900CA">
      <w:pPr>
        <w:numPr>
          <w:ilvl w:val="0"/>
          <w:numId w:val="1"/>
        </w:numPr>
        <w:pBdr>
          <w:left w:val="single" w:sz="6" w:space="6" w:color="FFFFFF"/>
        </w:pBdr>
        <w:spacing w:after="120" w:line="240" w:lineRule="auto"/>
        <w:ind w:left="585" w:right="255"/>
        <w:rPr>
          <w:rFonts w:ascii="Merriweather Sans" w:eastAsia="Times New Roman" w:hAnsi="Merriweather Sans" w:cs="Mangal"/>
          <w:color w:val="FFFFFF"/>
          <w:kern w:val="0"/>
          <w:sz w:val="20"/>
          <w:szCs w:val="20"/>
          <w14:ligatures w14:val="none"/>
        </w:rPr>
      </w:pPr>
      <w:r w:rsidRPr="00E900CA">
        <w:rPr>
          <w:rFonts w:ascii="Merriweather Sans" w:eastAsia="Times New Roman" w:hAnsi="Merriweather Sans" w:cs="Mangal"/>
          <w:color w:val="FFFFFF"/>
          <w:kern w:val="0"/>
          <w:sz w:val="20"/>
          <w:szCs w:val="20"/>
          <w14:ligatures w14:val="none"/>
        </w:rPr>
        <w:t>Clinical Brief</w:t>
      </w:r>
    </w:p>
    <w:p w14:paraId="2EF166BB" w14:textId="77777777" w:rsidR="00E900CA" w:rsidRPr="00E900CA" w:rsidRDefault="00E900CA" w:rsidP="00E900CA">
      <w:pPr>
        <w:numPr>
          <w:ilvl w:val="0"/>
          <w:numId w:val="1"/>
        </w:numPr>
        <w:pBdr>
          <w:left w:val="single" w:sz="6" w:space="6" w:color="FFFFFF"/>
        </w:pBdr>
        <w:spacing w:after="120" w:line="240" w:lineRule="auto"/>
        <w:ind w:left="585" w:right="255"/>
        <w:rPr>
          <w:rFonts w:ascii="Merriweather Sans" w:eastAsia="Times New Roman" w:hAnsi="Merriweather Sans" w:cs="Mangal"/>
          <w:color w:val="FFFFFF"/>
          <w:kern w:val="0"/>
          <w:sz w:val="20"/>
          <w:szCs w:val="20"/>
          <w14:ligatures w14:val="none"/>
        </w:rPr>
      </w:pPr>
      <w:hyperlink r:id="rId5" w:anchor="article-info" w:history="1">
        <w:r w:rsidRPr="00E900CA">
          <w:rPr>
            <w:rFonts w:ascii="Merriweather Sans" w:eastAsia="Times New Roman" w:hAnsi="Merriweather Sans" w:cs="Mangal"/>
            <w:color w:val="FFFFFF"/>
            <w:kern w:val="0"/>
            <w:sz w:val="20"/>
            <w:szCs w:val="20"/>
            <w:u w:val="single"/>
            <w14:ligatures w14:val="none"/>
          </w:rPr>
          <w:t>Published: 30 September 2021</w:t>
        </w:r>
      </w:hyperlink>
    </w:p>
    <w:p w14:paraId="7DFEF0C4" w14:textId="77777777" w:rsidR="00E900CA" w:rsidRPr="00E900CA" w:rsidRDefault="00E900CA" w:rsidP="00E900CA">
      <w:pPr>
        <w:numPr>
          <w:ilvl w:val="0"/>
          <w:numId w:val="2"/>
        </w:numPr>
        <w:pBdr>
          <w:left w:val="single" w:sz="6" w:space="6" w:color="FFFFFF"/>
        </w:pBdr>
        <w:spacing w:after="120" w:line="240" w:lineRule="auto"/>
        <w:ind w:left="585" w:right="255"/>
        <w:rPr>
          <w:rFonts w:ascii="Merriweather Sans" w:eastAsia="Times New Roman" w:hAnsi="Merriweather Sans" w:cs="Mangal"/>
          <w:color w:val="FFFFFF"/>
          <w:kern w:val="0"/>
          <w:sz w:val="20"/>
          <w:szCs w:val="20"/>
          <w14:ligatures w14:val="none"/>
        </w:rPr>
      </w:pPr>
      <w:r w:rsidRPr="00E900CA">
        <w:rPr>
          <w:rFonts w:ascii="Merriweather Sans" w:eastAsia="Times New Roman" w:hAnsi="Merriweather Sans" w:cs="Mangal"/>
          <w:color w:val="FFFFFF"/>
          <w:kern w:val="0"/>
          <w:sz w:val="20"/>
          <w:szCs w:val="20"/>
          <w14:ligatures w14:val="none"/>
        </w:rPr>
        <w:t>Volume 89, pages 71–73, (2022)</w:t>
      </w:r>
    </w:p>
    <w:p w14:paraId="3867916E" w14:textId="77777777" w:rsidR="00E900CA" w:rsidRPr="00E900CA" w:rsidRDefault="00E900CA" w:rsidP="00E900CA">
      <w:pPr>
        <w:numPr>
          <w:ilvl w:val="0"/>
          <w:numId w:val="2"/>
        </w:numPr>
        <w:spacing w:after="120" w:line="240" w:lineRule="auto"/>
        <w:ind w:left="585" w:right="255"/>
        <w:rPr>
          <w:rFonts w:ascii="Merriweather Sans" w:eastAsia="Times New Roman" w:hAnsi="Merriweather Sans" w:cs="Mangal"/>
          <w:color w:val="FFFFFF"/>
          <w:kern w:val="0"/>
          <w:sz w:val="20"/>
          <w:szCs w:val="20"/>
          <w14:ligatures w14:val="none"/>
        </w:rPr>
      </w:pPr>
      <w:hyperlink r:id="rId6" w:anchor="citeas" w:history="1">
        <w:r w:rsidRPr="00E900CA">
          <w:rPr>
            <w:rFonts w:ascii="Merriweather Sans" w:eastAsia="Times New Roman" w:hAnsi="Merriweather Sans" w:cs="Mangal"/>
            <w:color w:val="FFFFFF"/>
            <w:kern w:val="0"/>
            <w:sz w:val="20"/>
            <w:szCs w:val="20"/>
            <w:u w:val="single"/>
            <w14:ligatures w14:val="none"/>
          </w:rPr>
          <w:t>Cite this article</w:t>
        </w:r>
      </w:hyperlink>
    </w:p>
    <w:p w14:paraId="7842F71C" w14:textId="1F1B892C" w:rsidR="00E900CA" w:rsidRPr="00E900CA" w:rsidRDefault="00E900CA" w:rsidP="00E900CA">
      <w:pPr>
        <w:spacing w:after="0" w:line="240" w:lineRule="auto"/>
        <w:rPr>
          <w:rFonts w:ascii="Merriweather Sans" w:eastAsia="Times New Roman" w:hAnsi="Merriweather Sans" w:cs="Mangal"/>
          <w:color w:val="FFFFFF"/>
          <w:kern w:val="0"/>
          <w:sz w:val="20"/>
          <w:szCs w:val="20"/>
          <w14:ligatures w14:val="none"/>
        </w:rPr>
      </w:pPr>
      <w:hyperlink r:id="rId7" w:history="1">
        <w:r w:rsidRPr="00E900CA">
          <w:rPr>
            <w:rFonts w:ascii="Merriweather Sans" w:eastAsia="Times New Roman" w:hAnsi="Merriweather Sans" w:cs="Mangal"/>
            <w:b/>
            <w:bCs/>
            <w:noProof/>
            <w:color w:val="FFFFFF"/>
            <w:kern w:val="0"/>
            <w:sz w:val="20"/>
            <w:szCs w:val="20"/>
            <w14:ligatures w14:val="none"/>
          </w:rPr>
          <w:drawing>
            <wp:inline distT="0" distB="0" distL="0" distR="0" wp14:anchorId="274068B8" wp14:editId="6129E3F8">
              <wp:extent cx="1143000" cy="1511300"/>
              <wp:effectExtent l="0" t="0" r="0" b="0"/>
              <wp:docPr id="886356818" name="Picture 1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51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00CA">
          <w:rPr>
            <w:rFonts w:ascii="Merriweather Sans" w:eastAsia="Times New Roman" w:hAnsi="Merriweather Sans" w:cs="Mangal"/>
            <w:b/>
            <w:bCs/>
            <w:color w:val="FFFFFF"/>
            <w:kern w:val="0"/>
            <w:sz w:val="20"/>
            <w:szCs w:val="20"/>
            <w:u w:val="single"/>
            <w14:ligatures w14:val="none"/>
          </w:rPr>
          <w:t xml:space="preserve">Indian Journal of </w:t>
        </w:r>
        <w:proofErr w:type="spellStart"/>
        <w:r w:rsidRPr="00E900CA">
          <w:rPr>
            <w:rFonts w:ascii="Merriweather Sans" w:eastAsia="Times New Roman" w:hAnsi="Merriweather Sans" w:cs="Mangal"/>
            <w:b/>
            <w:bCs/>
            <w:color w:val="FFFFFF"/>
            <w:kern w:val="0"/>
            <w:sz w:val="20"/>
            <w:szCs w:val="20"/>
            <w:u w:val="single"/>
            <w14:ligatures w14:val="none"/>
          </w:rPr>
          <w:t>Pediatrics</w:t>
        </w:r>
      </w:hyperlink>
      <w:hyperlink r:id="rId9" w:history="1">
        <w:r w:rsidRPr="00E900CA">
          <w:rPr>
            <w:rFonts w:ascii="Merriweather Sans" w:eastAsia="Times New Roman" w:hAnsi="Merriweather Sans" w:cs="Mangal"/>
            <w:color w:val="FFFFFF"/>
            <w:kern w:val="0"/>
            <w:sz w:val="20"/>
            <w:szCs w:val="20"/>
            <w:u w:val="single"/>
            <w14:ligatures w14:val="none"/>
          </w:rPr>
          <w:t>Aims</w:t>
        </w:r>
        <w:proofErr w:type="spellEnd"/>
        <w:r w:rsidRPr="00E900CA">
          <w:rPr>
            <w:rFonts w:ascii="Merriweather Sans" w:eastAsia="Times New Roman" w:hAnsi="Merriweather Sans" w:cs="Mangal"/>
            <w:color w:val="FFFFFF"/>
            <w:kern w:val="0"/>
            <w:sz w:val="20"/>
            <w:szCs w:val="20"/>
            <w:u w:val="single"/>
            <w14:ligatures w14:val="none"/>
          </w:rPr>
          <w:t xml:space="preserve"> and </w:t>
        </w:r>
        <w:proofErr w:type="spellStart"/>
        <w:r w:rsidRPr="00E900CA">
          <w:rPr>
            <w:rFonts w:ascii="Merriweather Sans" w:eastAsia="Times New Roman" w:hAnsi="Merriweather Sans" w:cs="Mangal"/>
            <w:color w:val="FFFFFF"/>
            <w:kern w:val="0"/>
            <w:sz w:val="20"/>
            <w:szCs w:val="20"/>
            <w:u w:val="single"/>
            <w14:ligatures w14:val="none"/>
          </w:rPr>
          <w:t>scope</w:t>
        </w:r>
      </w:hyperlink>
      <w:hyperlink r:id="rId10" w:history="1">
        <w:r w:rsidRPr="00E900CA">
          <w:rPr>
            <w:rFonts w:ascii="Merriweather Sans" w:eastAsia="Times New Roman" w:hAnsi="Merriweather Sans" w:cs="Mangal"/>
            <w:color w:val="FFFFFF"/>
            <w:kern w:val="0"/>
            <w:sz w:val="20"/>
            <w:szCs w:val="20"/>
            <w:u w:val="single"/>
            <w14:ligatures w14:val="none"/>
          </w:rPr>
          <w:t>Submit</w:t>
        </w:r>
        <w:proofErr w:type="spellEnd"/>
        <w:r w:rsidRPr="00E900CA">
          <w:rPr>
            <w:rFonts w:ascii="Merriweather Sans" w:eastAsia="Times New Roman" w:hAnsi="Merriweather Sans" w:cs="Mangal"/>
            <w:color w:val="FFFFFF"/>
            <w:kern w:val="0"/>
            <w:sz w:val="20"/>
            <w:szCs w:val="20"/>
            <w:u w:val="single"/>
            <w14:ligatures w14:val="none"/>
          </w:rPr>
          <w:t xml:space="preserve"> manuscript</w:t>
        </w:r>
      </w:hyperlink>
    </w:p>
    <w:p w14:paraId="3C0ED852" w14:textId="77777777" w:rsidR="00E900CA" w:rsidRPr="00E900CA" w:rsidRDefault="00E900CA" w:rsidP="00E900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120"/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</w:pPr>
      <w:hyperlink r:id="rId11" w:anchor="auth-Kriti-Joshi-Aff1-Aff2" w:history="1">
        <w:r w:rsidRPr="00E900CA">
          <w:rPr>
            <w:rFonts w:ascii="Merriweather Sans" w:eastAsia="Times New Roman" w:hAnsi="Merriweather Sans" w:cs="Mangal"/>
            <w:color w:val="222222"/>
            <w:kern w:val="0"/>
            <w:sz w:val="27"/>
            <w:szCs w:val="27"/>
            <w:u w:val="single"/>
            <w14:ligatures w14:val="none"/>
          </w:rPr>
          <w:t>Kriti Joshi</w:t>
        </w:r>
      </w:hyperlink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, </w:t>
      </w:r>
    </w:p>
    <w:p w14:paraId="208D920A" w14:textId="77777777" w:rsidR="00E900CA" w:rsidRPr="00E900CA" w:rsidRDefault="00E900CA" w:rsidP="00E900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120"/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</w:pPr>
      <w:hyperlink r:id="rId12" w:anchor="auth-Eshita-Bhowmik-Aff1" w:history="1">
        <w:r w:rsidRPr="00E900CA">
          <w:rPr>
            <w:rFonts w:ascii="Merriweather Sans" w:eastAsia="Times New Roman" w:hAnsi="Merriweather Sans" w:cs="Mangal"/>
            <w:color w:val="222222"/>
            <w:kern w:val="0"/>
            <w:sz w:val="27"/>
            <w:szCs w:val="27"/>
            <w:u w:val="single"/>
            <w14:ligatures w14:val="none"/>
          </w:rPr>
          <w:t>Eshita Bhowmik</w:t>
        </w:r>
      </w:hyperlink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, </w:t>
      </w:r>
    </w:p>
    <w:p w14:paraId="722851B6" w14:textId="77777777" w:rsidR="00E900CA" w:rsidRPr="00E900CA" w:rsidRDefault="00E900CA" w:rsidP="00E900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120"/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</w:pPr>
      <w:hyperlink r:id="rId13" w:anchor="auth-Nirupama-Singh-Aff3" w:history="1">
        <w:r w:rsidRPr="00E900CA">
          <w:rPr>
            <w:rFonts w:ascii="Merriweather Sans" w:eastAsia="Times New Roman" w:hAnsi="Merriweather Sans" w:cs="Mangal"/>
            <w:color w:val="222222"/>
            <w:kern w:val="0"/>
            <w:sz w:val="27"/>
            <w:szCs w:val="27"/>
            <w:u w:val="single"/>
            <w14:ligatures w14:val="none"/>
          </w:rPr>
          <w:t>Nirupama Singh</w:t>
        </w:r>
      </w:hyperlink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 &amp; </w:t>
      </w:r>
    </w:p>
    <w:p w14:paraId="0FD3A948" w14:textId="77777777" w:rsidR="00E900CA" w:rsidRPr="00E900CA" w:rsidRDefault="00E900CA" w:rsidP="00E900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120"/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</w:pPr>
      <w:hyperlink r:id="rId14" w:anchor="auth-Vijayalakshmi-Bhatia-Aff1" w:history="1">
        <w:r w:rsidRPr="00E900CA">
          <w:rPr>
            <w:rFonts w:ascii="Merriweather Sans" w:eastAsia="Times New Roman" w:hAnsi="Merriweather Sans" w:cs="Mangal"/>
            <w:color w:val="222222"/>
            <w:kern w:val="0"/>
            <w:sz w:val="27"/>
            <w:szCs w:val="27"/>
            <w:u w:val="single"/>
            <w14:ligatures w14:val="none"/>
          </w:rPr>
          <w:t>Vijayalakshmi Bhatia</w:t>
        </w:r>
      </w:hyperlink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 </w:t>
      </w:r>
    </w:p>
    <w:p w14:paraId="4611F3DE" w14:textId="77777777" w:rsidR="00E900CA" w:rsidRPr="00E900CA" w:rsidRDefault="00E900CA" w:rsidP="00E900C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Merriweather Sans" w:eastAsia="Times New Roman" w:hAnsi="Merriweather Sans" w:cs="Mangal"/>
          <w:b/>
          <w:bCs/>
          <w:color w:val="222222"/>
          <w:kern w:val="0"/>
          <w:sz w:val="27"/>
          <w:szCs w:val="27"/>
          <w14:ligatures w14:val="none"/>
        </w:rPr>
      </w:pPr>
      <w:r w:rsidRPr="00E900CA">
        <w:rPr>
          <w:rFonts w:ascii="Merriweather Sans" w:eastAsia="Times New Roman" w:hAnsi="Merriweather Sans" w:cs="Mangal"/>
          <w:b/>
          <w:bCs/>
          <w:color w:val="222222"/>
          <w:kern w:val="0"/>
          <w:sz w:val="27"/>
          <w:szCs w:val="27"/>
          <w14:ligatures w14:val="none"/>
        </w:rPr>
        <w:t>272 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Accesses</w:t>
      </w:r>
    </w:p>
    <w:p w14:paraId="39C554C7" w14:textId="77777777" w:rsidR="00E900CA" w:rsidRPr="00E900CA" w:rsidRDefault="00E900CA" w:rsidP="00E900CA">
      <w:pPr>
        <w:numPr>
          <w:ilvl w:val="0"/>
          <w:numId w:val="4"/>
        </w:numPr>
        <w:shd w:val="clear" w:color="auto" w:fill="FFFFFF"/>
        <w:spacing w:line="240" w:lineRule="auto"/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</w:pPr>
      <w:hyperlink r:id="rId15" w:history="1">
        <w:r w:rsidRPr="00E900CA">
          <w:rPr>
            <w:rFonts w:ascii="Merriweather Sans" w:eastAsia="Times New Roman" w:hAnsi="Merriweather Sans" w:cs="Mangal"/>
            <w:color w:val="222222"/>
            <w:kern w:val="0"/>
            <w:sz w:val="27"/>
            <w:szCs w:val="27"/>
            <w:u w:val="single"/>
            <w14:ligatures w14:val="none"/>
          </w:rPr>
          <w:t>Explore all metrics </w:t>
        </w:r>
      </w:hyperlink>
    </w:p>
    <w:p w14:paraId="62523AEB" w14:textId="77777777" w:rsidR="00E900CA" w:rsidRPr="00E900CA" w:rsidRDefault="00E900CA" w:rsidP="00E900CA">
      <w:pPr>
        <w:pBdr>
          <w:bottom w:val="single" w:sz="6" w:space="6" w:color="CEDBE0"/>
        </w:pBdr>
        <w:shd w:val="clear" w:color="auto" w:fill="FFFFFF"/>
        <w:spacing w:after="240" w:line="240" w:lineRule="auto"/>
        <w:outlineLvl w:val="1"/>
        <w:rPr>
          <w:rFonts w:ascii="Merriweather Sans" w:eastAsia="Times New Roman" w:hAnsi="Merriweather Sans" w:cs="Mangal"/>
          <w:b/>
          <w:bCs/>
          <w:color w:val="222222"/>
          <w:kern w:val="0"/>
          <w:sz w:val="36"/>
          <w:szCs w:val="36"/>
          <w14:ligatures w14:val="none"/>
        </w:rPr>
      </w:pPr>
      <w:r w:rsidRPr="00E900CA">
        <w:rPr>
          <w:rFonts w:ascii="Merriweather Sans" w:eastAsia="Times New Roman" w:hAnsi="Merriweather Sans" w:cs="Mangal"/>
          <w:b/>
          <w:bCs/>
          <w:color w:val="222222"/>
          <w:kern w:val="0"/>
          <w:sz w:val="36"/>
          <w:szCs w:val="36"/>
          <w14:ligatures w14:val="none"/>
        </w:rPr>
        <w:t>Abstract</w:t>
      </w:r>
    </w:p>
    <w:p w14:paraId="07AB4767" w14:textId="77777777" w:rsidR="00E900CA" w:rsidRPr="00E900CA" w:rsidRDefault="00E900CA" w:rsidP="00E900CA">
      <w:pPr>
        <w:shd w:val="clear" w:color="auto" w:fill="FFFFFF"/>
        <w:spacing w:line="240" w:lineRule="auto"/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</w:pP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Information on vitamin D deficiency in prepubertal children is scarce. The authors studied calcium intake, sunlight exposure, serum calcium, alkaline phosphatase, 25-hydroxyvitamin (25OHD), and intact parathormone (</w:t>
      </w:r>
      <w:proofErr w:type="spellStart"/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iPTH</w:t>
      </w:r>
      <w:proofErr w:type="spellEnd"/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) in the children (</w:t>
      </w:r>
      <w:r w:rsidRPr="00E900CA">
        <w:rPr>
          <w:rFonts w:ascii="Merriweather Sans" w:eastAsia="Times New Roman" w:hAnsi="Merriweather Sans" w:cs="Mangal"/>
          <w:i/>
          <w:iCs/>
          <w:color w:val="222222"/>
          <w:kern w:val="0"/>
          <w:sz w:val="27"/>
          <w:szCs w:val="27"/>
          <w14:ligatures w14:val="none"/>
        </w:rPr>
        <w:t>N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=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135) attending the pediatric endocrinology clinic (declared normal after evaluation) and their healthy siblings. Serum 25OHD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&lt;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12</w:t>
      </w:r>
      <w:r w:rsidRPr="00E900CA">
        <w:rPr>
          <w:rFonts w:ascii="Merriweather Sans" w:eastAsia="Times New Roman" w:hAnsi="Merriweather Sans" w:cs="Merriweather Sans"/>
          <w:color w:val="222222"/>
          <w:kern w:val="0"/>
          <w:sz w:val="27"/>
          <w:szCs w:val="27"/>
          <w14:ligatures w14:val="none"/>
        </w:rPr>
        <w:t> 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ng/mL was frequent (55.6%) and median (IQR) 25OHD lower [10.1 (11.4) ng/mL] in pubertal (</w:t>
      </w:r>
      <w:r w:rsidRPr="00E900CA">
        <w:rPr>
          <w:rFonts w:ascii="Merriweather Sans" w:eastAsia="Times New Roman" w:hAnsi="Merriweather Sans" w:cs="Mangal"/>
          <w:i/>
          <w:iCs/>
          <w:color w:val="222222"/>
          <w:kern w:val="0"/>
          <w:sz w:val="27"/>
          <w:szCs w:val="27"/>
          <w14:ligatures w14:val="none"/>
        </w:rPr>
        <w:t>n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=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36) versus prepubertal (</w:t>
      </w:r>
      <w:r w:rsidRPr="00E900CA">
        <w:rPr>
          <w:rFonts w:ascii="Merriweather Sans" w:eastAsia="Times New Roman" w:hAnsi="Merriweather Sans" w:cs="Mangal"/>
          <w:i/>
          <w:iCs/>
          <w:color w:val="222222"/>
          <w:kern w:val="0"/>
          <w:sz w:val="27"/>
          <w:szCs w:val="27"/>
          <w14:ligatures w14:val="none"/>
        </w:rPr>
        <w:t>n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=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99) children [36.4% (</w:t>
      </w:r>
      <w:r w:rsidRPr="00E900CA">
        <w:rPr>
          <w:rFonts w:ascii="Merriweather Sans" w:eastAsia="Times New Roman" w:hAnsi="Merriweather Sans" w:cs="Mangal"/>
          <w:i/>
          <w:iCs/>
          <w:color w:val="222222"/>
          <w:kern w:val="0"/>
          <w:sz w:val="27"/>
          <w:szCs w:val="27"/>
          <w14:ligatures w14:val="none"/>
        </w:rPr>
        <w:t>p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&lt;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0.05), 15.5 (13.2) ng/mL (</w:t>
      </w:r>
      <w:r w:rsidRPr="00E900CA">
        <w:rPr>
          <w:rFonts w:ascii="Merriweather Sans" w:eastAsia="Times New Roman" w:hAnsi="Merriweather Sans" w:cs="Mangal"/>
          <w:i/>
          <w:iCs/>
          <w:color w:val="222222"/>
          <w:kern w:val="0"/>
          <w:sz w:val="27"/>
          <w:szCs w:val="27"/>
          <w14:ligatures w14:val="none"/>
        </w:rPr>
        <w:t>p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&lt;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0.001)]. Girls had lower 25OHD [12.33 (10.32)] vs. [15.83 (13.37) ng/mL,</w:t>
      </w:r>
      <w:r w:rsidRPr="00E900CA">
        <w:rPr>
          <w:rFonts w:ascii="Merriweather Sans" w:eastAsia="Times New Roman" w:hAnsi="Merriweather Sans" w:cs="Merriweather Sans"/>
          <w:color w:val="222222"/>
          <w:kern w:val="0"/>
          <w:sz w:val="27"/>
          <w:szCs w:val="27"/>
          <w14:ligatures w14:val="none"/>
        </w:rPr>
        <w:t> </w:t>
      </w:r>
      <w:r w:rsidRPr="00E900CA">
        <w:rPr>
          <w:rFonts w:ascii="Merriweather Sans" w:eastAsia="Times New Roman" w:hAnsi="Merriweather Sans" w:cs="Mangal"/>
          <w:i/>
          <w:iCs/>
          <w:color w:val="222222"/>
          <w:kern w:val="0"/>
          <w:sz w:val="27"/>
          <w:szCs w:val="27"/>
          <w14:ligatures w14:val="none"/>
        </w:rPr>
        <w:t>p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&lt;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0.05], calcium intake [517.20 (405.5) vs. 623.6 (430.5) mg,</w:t>
      </w:r>
      <w:r w:rsidRPr="00E900CA">
        <w:rPr>
          <w:rFonts w:ascii="Merriweather Sans" w:eastAsia="Times New Roman" w:hAnsi="Merriweather Sans" w:cs="Merriweather Sans"/>
          <w:color w:val="222222"/>
          <w:kern w:val="0"/>
          <w:sz w:val="27"/>
          <w:szCs w:val="27"/>
          <w14:ligatures w14:val="none"/>
        </w:rPr>
        <w:t> </w:t>
      </w:r>
      <w:r w:rsidRPr="00E900CA">
        <w:rPr>
          <w:rFonts w:ascii="Merriweather Sans" w:eastAsia="Times New Roman" w:hAnsi="Merriweather Sans" w:cs="Mangal"/>
          <w:i/>
          <w:iCs/>
          <w:color w:val="222222"/>
          <w:kern w:val="0"/>
          <w:sz w:val="27"/>
          <w:szCs w:val="27"/>
          <w14:ligatures w14:val="none"/>
        </w:rPr>
        <w:t>p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&lt;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0.05], and minutes of sunlight exposure [MSE, 38.55 (42.86) vs. 63.4 (66.8) min,</w:t>
      </w:r>
      <w:r w:rsidRPr="00E900CA">
        <w:rPr>
          <w:rFonts w:ascii="Merriweather Sans" w:eastAsia="Times New Roman" w:hAnsi="Merriweather Sans" w:cs="Merriweather Sans"/>
          <w:color w:val="222222"/>
          <w:kern w:val="0"/>
          <w:sz w:val="27"/>
          <w:szCs w:val="27"/>
          <w14:ligatures w14:val="none"/>
        </w:rPr>
        <w:t> </w:t>
      </w:r>
      <w:r w:rsidRPr="00E900CA">
        <w:rPr>
          <w:rFonts w:ascii="Merriweather Sans" w:eastAsia="Times New Roman" w:hAnsi="Merriweather Sans" w:cs="Mangal"/>
          <w:i/>
          <w:iCs/>
          <w:color w:val="222222"/>
          <w:kern w:val="0"/>
          <w:sz w:val="27"/>
          <w:szCs w:val="27"/>
          <w14:ligatures w14:val="none"/>
        </w:rPr>
        <w:t>p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>&lt;</w:t>
      </w:r>
      <w:r w:rsidRPr="00E900CA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 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t xml:space="preserve">0.01] than boys. MSE and body surface area (BSA) exposed were significant associations of 25OHD in a multivariate model. Vitamin D deficiency in </w:t>
      </w:r>
      <w:r w:rsidRPr="00E900CA">
        <w:rPr>
          <w:rFonts w:ascii="Merriweather Sans" w:eastAsia="Times New Roman" w:hAnsi="Merriweather Sans" w:cs="Mangal"/>
          <w:color w:val="222222"/>
          <w:kern w:val="0"/>
          <w:sz w:val="27"/>
          <w:szCs w:val="27"/>
          <w14:ligatures w14:val="none"/>
        </w:rPr>
        <w:lastRenderedPageBreak/>
        <w:t>children, both pubertal and prepubertal, assumes public health importance in the authors' region. Girls are at higher risk. Duration of sunlight exposure and BSA are modifiable factors.</w:t>
      </w:r>
    </w:p>
    <w:p w14:paraId="60DFB0CA" w14:textId="77777777" w:rsidR="00E900CA" w:rsidRDefault="00E900CA"/>
    <w:sectPr w:rsidR="00E9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6ECA"/>
    <w:multiLevelType w:val="multilevel"/>
    <w:tmpl w:val="099A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06F43"/>
    <w:multiLevelType w:val="multilevel"/>
    <w:tmpl w:val="459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654A8"/>
    <w:multiLevelType w:val="multilevel"/>
    <w:tmpl w:val="ED84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26FAA"/>
    <w:multiLevelType w:val="multilevel"/>
    <w:tmpl w:val="16E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69672">
    <w:abstractNumId w:val="1"/>
  </w:num>
  <w:num w:numId="2" w16cid:durableId="1768312573">
    <w:abstractNumId w:val="2"/>
  </w:num>
  <w:num w:numId="3" w16cid:durableId="146938884">
    <w:abstractNumId w:val="0"/>
  </w:num>
  <w:num w:numId="4" w16cid:durableId="59795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CA"/>
    <w:rsid w:val="00E9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1D25"/>
  <w15:chartTrackingRefBased/>
  <w15:docId w15:val="{15AB6BE4-973F-4947-8CF5-64D66B0E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0C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0C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900C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0C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00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900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9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0CA"/>
    <w:rPr>
      <w:b/>
      <w:bCs/>
      <w:smallCaps/>
      <w:color w:val="0F4761" w:themeColor="accent1" w:themeShade="BF"/>
      <w:spacing w:val="5"/>
    </w:rPr>
  </w:style>
  <w:style w:type="paragraph" w:customStyle="1" w:styleId="c-article-identifiersitem">
    <w:name w:val="c-article-identifiers__item"/>
    <w:basedOn w:val="Normal"/>
    <w:rsid w:val="00E900CA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900CA"/>
    <w:rPr>
      <w:color w:val="0000FF"/>
      <w:u w:val="single"/>
    </w:rPr>
  </w:style>
  <w:style w:type="character" w:customStyle="1" w:styleId="app-article-mastheadjournal-title">
    <w:name w:val="app-article-masthead__journal-title"/>
    <w:basedOn w:val="DefaultParagraphFont"/>
    <w:rsid w:val="00E900CA"/>
  </w:style>
  <w:style w:type="paragraph" w:customStyle="1" w:styleId="c-article-author-listitem">
    <w:name w:val="c-article-author-list__item"/>
    <w:basedOn w:val="Normal"/>
    <w:rsid w:val="00E900CA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app-article-metrics-barcount">
    <w:name w:val="app-article-metrics-bar__count"/>
    <w:basedOn w:val="Normal"/>
    <w:rsid w:val="00E900CA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character" w:customStyle="1" w:styleId="app-article-metrics-barlabel">
    <w:name w:val="app-article-metrics-bar__label"/>
    <w:basedOn w:val="DefaultParagraphFont"/>
    <w:rsid w:val="00E900CA"/>
  </w:style>
  <w:style w:type="paragraph" w:customStyle="1" w:styleId="app-article-metrics-bardetails">
    <w:name w:val="app-article-metrics-bar__details"/>
    <w:basedOn w:val="Normal"/>
    <w:rsid w:val="00E900CA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00CA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0599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1854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50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ink.springer.com/article/10.1007/s12098-021-03891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journal/12098" TargetMode="External"/><Relationship Id="rId12" Type="http://schemas.openxmlformats.org/officeDocument/2006/relationships/hyperlink" Target="https://link.springer.com/article/10.1007/s12098-021-03891-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2098-021-03891-6" TargetMode="External"/><Relationship Id="rId11" Type="http://schemas.openxmlformats.org/officeDocument/2006/relationships/hyperlink" Target="https://link.springer.com/article/10.1007/s12098-021-03891-6" TargetMode="External"/><Relationship Id="rId5" Type="http://schemas.openxmlformats.org/officeDocument/2006/relationships/hyperlink" Target="https://link.springer.com/article/10.1007/s12098-021-03891-6" TargetMode="External"/><Relationship Id="rId15" Type="http://schemas.openxmlformats.org/officeDocument/2006/relationships/hyperlink" Target="https://link.springer.com/article/10.1007/s12098-021-03891-6/metrics" TargetMode="External"/><Relationship Id="rId10" Type="http://schemas.openxmlformats.org/officeDocument/2006/relationships/hyperlink" Target="https://www.editorialmanager.com/ij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journal/12098/aims-and-scope" TargetMode="External"/><Relationship Id="rId14" Type="http://schemas.openxmlformats.org/officeDocument/2006/relationships/hyperlink" Target="https://link.springer.com/article/10.1007/s12098-021-03891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2024-02-09T15:32:00Z</dcterms:created>
  <dcterms:modified xsi:type="dcterms:W3CDTF">2024-02-09T15:33:00Z</dcterms:modified>
</cp:coreProperties>
</file>