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Smart India Hackaton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Gaurav Sonawane </w:t>
            </w:r>
            <w:r w:rsidRPr="00B31269">
              <w:t xml:space="preserve">of team Free Thinkers actively participated in the prestigious Smart India Hackaton,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Organizer: R C Patel Institute of Technology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