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>{{event_name}}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{{name}} </w:t>
            </w:r>
            <w:r w:rsidRPr="00B31269">
              <w:t>of team {{team_name}} actively participated in the prestigious {{event_name}},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>{{owner_post}}: {{owner_name}}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  <w:r w:rsidR="008976E2">
              <w:t xml:space="preserve"> : {{</w:t>
            </w:r>
            <w:r w:rsidR="000B053B" w:rsidRPr="000B053B">
              <w:rPr>
                <w:rStyle w:val="SubtitleChar"/>
                <w:caps w:val="0"/>
              </w:rPr>
              <w:t>date</w:t>
            </w:r>
            <w:r w:rsidR="008976E2">
              <w:t>}}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