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</w:pPr>
      <w:r>
        <w:rPr>
          <w:rFonts w:ascii="Calibri" w:cs="Calibri" w:eastAsia="Calibri" w:hAnsi="Calibri"/>
          <w:b/>
          <w:bCs/>
          <w:caps/>
          <w:color w:val="333333"/>
          <w:spacing w:val="20"/>
          <w:sz w:val="34"/>
          <w:szCs w:val="34"/>
        </w:rPr>
        <w:t xml:space="preserve">GAURAV HEGDE</w:t>
      </w:r>
    </w:p>
    <w:p>
      <w:pPr>
        <w:spacing w:after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+91-8369669969</w:t>
      </w:r>
      <w:r>
        <w:rPr>
          <w:rFonts w:ascii="Calibri" w:cs="Calibri" w:eastAsia="Calibri" w:hAnsi="Calibri"/>
          <w:color w:val="1F6F6F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gaurav.gemini1992@gmail.com</w:t>
      </w:r>
      <w:r>
        <w:rPr>
          <w:rFonts w:ascii="Calibri" w:cs="Calibri" w:eastAsia="Calibri" w:hAnsi="Calibri"/>
          <w:color w:val="1F6F6F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linkedin.com/in/gaurav-hegde-14254721</w:t>
      </w:r>
    </w:p>
    <w:p>
      <w:pPr>
        <w:pBdr>
          <w:bottom w:val="single" w:color="1F6F6F" w:sz="6" w:space="1"/>
        </w:pBdr>
        <w:spacing w:after="120"/>
      </w:pPr>
    </w:p>
    <w:p>
      <w:pPr>
        <w:pBdr>
          <w:bottom w:val="single" w:color="1F6F6F" w:sz="4" w:space="2"/>
        </w:pBdr>
        <w:spacing w:after="50" w:before="120"/>
      </w:pPr>
      <w:r>
        <w:rPr>
          <w:rFonts w:ascii="Calibri" w:cs="Calibri" w:eastAsia="Calibri" w:hAnsi="Calibri"/>
          <w:b/>
          <w:bCs/>
          <w:color w:val="1F6F6F"/>
          <w:sz w:val="19"/>
          <w:szCs w:val="19"/>
        </w:rPr>
        <w:t xml:space="preserve">PROFILE SUMMARY</w:t>
      </w:r>
    </w:p>
    <w:p>
      <w:pPr>
        <w:spacing w:after="50" w:line="24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Enterprise Customer Success &amp; Account Management leader with 11+ years managing Fortune 100/500 client relationships — delivering ₹20+ Cr in annual account revenue and $8M against a $1M quarterly target (8x) through renewal-, retention-, and expansion-focused account ownership.</w:t>
      </w:r>
    </w:p>
    <w:p>
      <w:pPr>
        <w:spacing w:after="50" w:line="24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Proven executive relationship manager for global blue-chip accounts (Shell, ABB, Schneider, Novo Nordisk), running quarterly performance reviews, resolving cross-functional escalations, and managing structured handoffs between business development and delivery teams.</w:t>
      </w:r>
    </w:p>
    <w:p>
      <w:pPr>
        <w:pBdr>
          <w:bottom w:val="single" w:color="1F6F6F" w:sz="4" w:space="2"/>
        </w:pBdr>
        <w:spacing w:after="50" w:before="120"/>
      </w:pPr>
      <w:r>
        <w:rPr>
          <w:rFonts w:ascii="Calibri" w:cs="Calibri" w:eastAsia="Calibri" w:hAnsi="Calibri"/>
          <w:b/>
          <w:bCs/>
          <w:color w:val="1F6F6F"/>
          <w:sz w:val="19"/>
          <w:szCs w:val="19"/>
        </w:rPr>
        <w:t xml:space="preserve">CORE COMPETENCIES</w:t>
      </w:r>
    </w:p>
    <w:p>
      <w:pPr>
        <w:spacing w:after="50" w:line="24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Customer Success &amp; Account Management  •  Executive Relationship Management (C-Suite)  •  Renewals &amp; Net Revenue Retention  •  QBR &amp; Performance Reporting  •  BD-to-Delivery Handoff  •  Cross-Functional Escalation Management  •  Contract Negotiation &amp; SOW  •  Account Health Monitoring</w:t>
      </w:r>
    </w:p>
    <w:p>
      <w:pPr>
        <w:pBdr>
          <w:bottom w:val="single" w:color="1F6F6F" w:sz="4" w:space="2"/>
        </w:pBdr>
        <w:spacing w:after="50" w:before="120"/>
      </w:pPr>
      <w:r>
        <w:rPr>
          <w:rFonts w:ascii="Calibri" w:cs="Calibri" w:eastAsia="Calibri" w:hAnsi="Calibri"/>
          <w:b/>
          <w:bCs/>
          <w:color w:val="1F6F6F"/>
          <w:sz w:val="19"/>
          <w:szCs w:val="19"/>
        </w:rPr>
        <w:t xml:space="preserve">WORK EXPERIENCE</w:t>
      </w:r>
    </w:p>
    <w:p>
      <w:pPr>
        <w:tabs>
          <w:tab w:val="right" w:pos="9026"/>
        </w:tabs>
        <w:spacing w:after="20" w:before="10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Senior Key Account Manager  |  Galaxy Weblinks, Remote</w:t>
      </w:r>
      <w:r>
        <w:rPr>
          <w:rFonts w:ascii="Calibri" w:cs="Calibri" w:eastAsia="Calibri" w:hAnsi="Calibri"/>
          <w:b/>
          <w:bCs/>
          <w:color w:val="1F6F6F"/>
          <w:sz w:val="18"/>
          <w:szCs w:val="18"/>
        </w:rPr>
        <w:t xml:space="preserve">	Since May 2025</w:t>
      </w:r>
    </w:p>
    <w:p>
      <w:pPr>
        <w:pStyle w:val="ListParagraph"/>
        <w:numPr>
          <w:ilvl w:val="0"/>
          <w:numId w:val="1"/>
        </w:numPr>
        <w:spacing w:after="30" w:line="24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Retained and grew $200K in account revenue by identifying upsell opportunities and resolving client risk signals surfaced through periodic account health reviews.</w:t>
      </w:r>
    </w:p>
    <w:p>
      <w:pPr>
        <w:pStyle w:val="ListParagraph"/>
        <w:numPr>
          <w:ilvl w:val="0"/>
          <w:numId w:val="1"/>
        </w:numPr>
        <w:spacing w:after="30" w:line="24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Safeguarded renewal outcomes by proactively addressing client concerns ahead of renewal windows, partnering cross-functionally with marketing, sales operations, and finance to resolve escalations.</w:t>
      </w:r>
    </w:p>
    <w:p>
      <w:pPr>
        <w:pStyle w:val="ListParagraph"/>
        <w:numPr>
          <w:ilvl w:val="0"/>
          <w:numId w:val="1"/>
        </w:numPr>
        <w:spacing w:after="30" w:line="24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Strengthened account-team capability by mentoring junior team members on account management and retention best practices.</w:t>
      </w:r>
    </w:p>
    <w:p>
      <w:pPr>
        <w:tabs>
          <w:tab w:val="right" w:pos="9026"/>
        </w:tabs>
        <w:spacing w:after="20" w:before="10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Business Development Manager  |  CloudoPlus, Remote</w:t>
      </w:r>
      <w:r>
        <w:rPr>
          <w:rFonts w:ascii="Calibri" w:cs="Calibri" w:eastAsia="Calibri" w:hAnsi="Calibri"/>
          <w:b/>
          <w:bCs/>
          <w:color w:val="1F6F6F"/>
          <w:sz w:val="18"/>
          <w:szCs w:val="18"/>
        </w:rPr>
        <w:t xml:space="preserve">	Jun 2024 – Jan 2025</w:t>
      </w:r>
    </w:p>
    <w:p>
      <w:pPr>
        <w:pStyle w:val="ListParagraph"/>
        <w:numPr>
          <w:ilvl w:val="0"/>
          <w:numId w:val="1"/>
        </w:numPr>
        <w:spacing w:after="30" w:line="24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Closed and onboarded new enterprise clients across multiple countries through multi-channel outreach and direct negotiation with key decision-makers, laying the relationship groundwork for long-term accounts.</w:t>
      </w:r>
    </w:p>
    <w:p>
      <w:pPr>
        <w:pStyle w:val="ListParagraph"/>
        <w:numPr>
          <w:ilvl w:val="0"/>
          <w:numId w:val="1"/>
        </w:numPr>
        <w:spacing w:after="30" w:line="24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Represented CloudoPlus at global industry conferences with executive-facing presentations, strengthening brand credibility with prospective enterprise clients.</w:t>
      </w:r>
    </w:p>
    <w:p>
      <w:pPr>
        <w:tabs>
          <w:tab w:val="right" w:pos="9026"/>
        </w:tabs>
        <w:spacing w:after="20" w:before="10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Customer Success Manager  |  Capgemini India, Bengaluru</w:t>
      </w:r>
      <w:r>
        <w:rPr>
          <w:rFonts w:ascii="Calibri" w:cs="Calibri" w:eastAsia="Calibri" w:hAnsi="Calibri"/>
          <w:b/>
          <w:bCs/>
          <w:color w:val="1F6F6F"/>
          <w:sz w:val="18"/>
          <w:szCs w:val="18"/>
        </w:rPr>
        <w:t xml:space="preserve">	Jan 2022 – May 2024</w:t>
      </w:r>
    </w:p>
    <w:p>
      <w:pPr>
        <w:pStyle w:val="ListParagraph"/>
        <w:numPr>
          <w:ilvl w:val="0"/>
          <w:numId w:val="1"/>
        </w:numPr>
        <w:spacing w:after="30" w:line="24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Owned executive relationships across global Fortune 500 accounts (Shell, Schneider, ABB, Koch, TPI Composite, Alstom, Novo Nordisk), delivering ₹20+ Cr in staffing revenue and $4.5M in solutioning revenue against a ₹16 Cr target.</w:t>
      </w:r>
    </w:p>
    <w:p>
      <w:pPr>
        <w:pStyle w:val="ListParagraph"/>
        <w:numPr>
          <w:ilvl w:val="0"/>
          <w:numId w:val="1"/>
        </w:numPr>
        <w:spacing w:after="30" w:line="24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Directed quarterly and ad hoc performance reviews with client stakeholders, using account data to flag risk and surface expansion opportunities across a 194+ resource delivery footprint.</w:t>
      </w:r>
    </w:p>
    <w:p>
      <w:pPr>
        <w:pStyle w:val="ListParagraph"/>
        <w:numPr>
          <w:ilvl w:val="0"/>
          <w:numId w:val="1"/>
        </w:numPr>
        <w:spacing w:after="30" w:line="24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Managed structured account handoffs from sales into delivery by leading RFP responses and SOW finalization, aligning scope, pricing, and commitments with client expectations.</w:t>
      </w:r>
    </w:p>
    <w:p>
      <w:pPr>
        <w:tabs>
          <w:tab w:val="right" w:pos="9026"/>
        </w:tabs>
        <w:spacing w:after="20" w:before="10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Senior Account Manager  |  NeoSoft Technologies Pvt. Ltd., Mumbai</w:t>
      </w:r>
      <w:r>
        <w:rPr>
          <w:rFonts w:ascii="Calibri" w:cs="Calibri" w:eastAsia="Calibri" w:hAnsi="Calibri"/>
          <w:b/>
          <w:bCs/>
          <w:color w:val="1F6F6F"/>
          <w:sz w:val="18"/>
          <w:szCs w:val="18"/>
        </w:rPr>
        <w:t xml:space="preserve">	Oct 2019 – Jan 2022</w:t>
      </w:r>
    </w:p>
    <w:p>
      <w:pPr>
        <w:pStyle w:val="ListParagraph"/>
        <w:numPr>
          <w:ilvl w:val="0"/>
          <w:numId w:val="1"/>
        </w:numPr>
        <w:spacing w:after="30" w:line="24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Directed quarterly and annual account reviews to track KPIs, identify growth opportunities, and resolve client escalations across a portfolio of high-value strategic accounts.</w:t>
      </w:r>
    </w:p>
    <w:p>
      <w:pPr>
        <w:pStyle w:val="ListParagraph"/>
        <w:numPr>
          <w:ilvl w:val="0"/>
          <w:numId w:val="1"/>
        </w:numPr>
        <w:spacing w:after="30" w:line="24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Increased retention and repeat business by aligning delivery to client priorities and strengthening long-term relationship governance.</w:t>
      </w:r>
    </w:p>
    <w:p>
      <w:pPr>
        <w:pStyle w:val="ListParagraph"/>
        <w:numPr>
          <w:ilvl w:val="0"/>
          <w:numId w:val="1"/>
        </w:numPr>
        <w:spacing w:after="30" w:line="24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Grew territory revenue and opened new accounts by engaging CXO-level stakeholders and negotiating high-value, multi-year contracts.</w:t>
      </w:r>
    </w:p>
    <w:p>
      <w:pPr>
        <w:pBdr>
          <w:bottom w:val="single" w:color="1F6F6F" w:sz="4" w:space="2"/>
        </w:pBdr>
        <w:spacing w:after="50" w:before="120"/>
      </w:pPr>
      <w:r>
        <w:rPr>
          <w:rFonts w:ascii="Calibri" w:cs="Calibri" w:eastAsia="Calibri" w:hAnsi="Calibri"/>
          <w:b/>
          <w:bCs/>
          <w:color w:val="1F6F6F"/>
          <w:sz w:val="19"/>
          <w:szCs w:val="19"/>
        </w:rPr>
        <w:t xml:space="preserve">EARLIER CAREER (2015 – 2019)</w:t>
      </w:r>
    </w:p>
    <w:p>
      <w:pPr>
        <w:spacing w:after="50" w:line="240"/>
      </w:pPr>
      <w:r>
        <w:rPr>
          <w:rFonts w:ascii="Calibri" w:cs="Calibri" w:eastAsia="Calibri" w:hAnsi="Calibri"/>
          <w:i/>
          <w:iCs/>
          <w:color w:val="333333"/>
          <w:sz w:val="18"/>
          <w:szCs w:val="18"/>
        </w:rPr>
        <w:t xml:space="preserve">Business Development Manager — Pragati Software Pvt. Ltd. &amp; Sphere Info Solutions Pvt. Ltd., Mumbai  |  Area Sales Executive — C-dot Systems Pvt. Ltd., Mumbai  |  Business Development Manager — Global Power Source, Mumbai  |  TeleSales — First Source Pvt. Ltd., Mumbai</w:t>
      </w:r>
    </w:p>
    <w:p>
      <w:pPr>
        <w:spacing w:after="50" w:line="24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Generated $8M in revenue against a $1M quarterly target in industrial battery sales, expanded B2B operations across Malaysia, Singapore, Thailand, and Indonesia, and built early-career sales foundations in cold-calling, lead generation, and CRM-driven pipeline management across IT staffing, telecom hardware, and industrial equipment sectors.</w:t>
      </w:r>
    </w:p>
    <w:p>
      <w:pPr>
        <w:pBdr>
          <w:bottom w:val="single" w:color="1F6F6F" w:sz="4" w:space="2"/>
        </w:pBdr>
        <w:spacing w:after="50" w:before="120"/>
      </w:pPr>
      <w:r>
        <w:rPr>
          <w:rFonts w:ascii="Calibri" w:cs="Calibri" w:eastAsia="Calibri" w:hAnsi="Calibri"/>
          <w:b/>
          <w:bCs/>
          <w:color w:val="1F6F6F"/>
          <w:sz w:val="19"/>
          <w:szCs w:val="19"/>
        </w:rPr>
        <w:t xml:space="preserve">EDUCATION</w:t>
      </w:r>
    </w:p>
    <w:p>
      <w:pPr>
        <w:spacing w:after="50" w:line="24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MBA, Operations Management — Guru Nanak Institute of Management Studies, Mumbai, 2021</w:t>
      </w:r>
    </w:p>
    <w:p>
      <w:pPr>
        <w:spacing w:after="50" w:line="24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B.Tech, Electronics &amp; Telecommunication — Mangalore Institute of Technology, Mangalore, 2014</w:t>
      </w:r>
    </w:p>
    <w:sectPr>
      <w:pgSz w:w="12240" w:h="15840" w:orient="portrait"/>
      <w:pgMar w:top="460" w:right="620" w:bottom="46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2026-07-30T06:12:50.740Z</dcterms:created>
  <dcterms:modified xsi:type="dcterms:W3CDTF">2026-07-30T06:12:50.773Z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