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9616" w14:textId="77777777" w:rsidR="007123F1" w:rsidRDefault="007123F1" w:rsidP="007123F1">
      <w:pPr>
        <w:spacing w:after="8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Oura Care Navigation - Data &amp; Location Tracker</w:t>
      </w:r>
    </w:p>
    <w:p w14:paraId="23D29021" w14:textId="77777777" w:rsidR="007123F1" w:rsidRDefault="007123F1" w:rsidP="007123F1">
      <w:pPr>
        <w:spacing w:after="20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982"/>
        <w:gridCol w:w="5385"/>
      </w:tblGrid>
      <w:tr w:rsidR="007123F1" w:rsidRPr="006331AB" w14:paraId="2D19808C" w14:textId="77777777" w:rsidTr="00DD4DDA">
        <w:trPr>
          <w:trHeight w:val="6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F610" w14:textId="77777777" w:rsidR="007123F1" w:rsidRPr="006331AB" w:rsidRDefault="007123F1" w:rsidP="00DD4DDA">
            <w:pPr>
              <w:spacing w:after="200"/>
              <w:rPr>
                <w:b/>
                <w:bCs/>
              </w:rPr>
            </w:pPr>
            <w:r w:rsidRPr="006331A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3BFA6DF" w14:textId="77777777" w:rsidR="007123F1" w:rsidRPr="006331AB" w:rsidRDefault="007123F1" w:rsidP="00DD4DDA">
            <w:pPr>
              <w:spacing w:after="200"/>
              <w:rPr>
                <w:b/>
                <w:bCs/>
              </w:rPr>
            </w:pPr>
            <w:r w:rsidRPr="006331AB">
              <w:rPr>
                <w:b/>
                <w:bCs/>
              </w:rPr>
              <w:t>Data / Analysis Request</w:t>
            </w:r>
          </w:p>
        </w:tc>
        <w:tc>
          <w:tcPr>
            <w:tcW w:w="0" w:type="auto"/>
            <w:vAlign w:val="center"/>
            <w:hideMark/>
          </w:tcPr>
          <w:p w14:paraId="3A71716F" w14:textId="77777777" w:rsidR="007123F1" w:rsidRPr="006331AB" w:rsidRDefault="007123F1" w:rsidP="00DD4DDA">
            <w:pPr>
              <w:spacing w:after="200"/>
              <w:rPr>
                <w:b/>
                <w:bCs/>
              </w:rPr>
            </w:pPr>
            <w:r w:rsidRPr="006331AB">
              <w:rPr>
                <w:b/>
                <w:bCs/>
              </w:rPr>
              <w:t>Where is this currently covered?</w:t>
            </w:r>
          </w:p>
        </w:tc>
      </w:tr>
      <w:tr w:rsidR="007123F1" w:rsidRPr="006331AB" w14:paraId="685C708D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50CD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vAlign w:val="center"/>
            <w:hideMark/>
          </w:tcPr>
          <w:p w14:paraId="37D9AF6D" w14:textId="77777777" w:rsidR="007123F1" w:rsidRPr="006331AB" w:rsidRDefault="007123F1" w:rsidP="00DD4DDA">
            <w:pPr>
              <w:spacing w:after="200"/>
            </w:pPr>
            <w:r w:rsidRPr="006331AB">
              <w:t>Executive-level definition of Care Navigation</w:t>
            </w:r>
          </w:p>
        </w:tc>
        <w:tc>
          <w:tcPr>
            <w:tcW w:w="0" w:type="auto"/>
            <w:vAlign w:val="center"/>
            <w:hideMark/>
          </w:tcPr>
          <w:p w14:paraId="352BB21A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5:</w:t>
            </w:r>
            <w:r w:rsidRPr="006331AB">
              <w:t xml:space="preserve"> </w:t>
            </w:r>
            <w:r w:rsidRPr="006331AB">
              <w:rPr>
                <w:i/>
                <w:iCs/>
              </w:rPr>
              <w:t>“What Care Navigation Is, and What It Is Not”</w:t>
            </w:r>
          </w:p>
        </w:tc>
      </w:tr>
      <w:tr w:rsidR="007123F1" w:rsidRPr="006331AB" w14:paraId="5F986383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BAA6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vAlign w:val="center"/>
            <w:hideMark/>
          </w:tcPr>
          <w:p w14:paraId="43433B96" w14:textId="77777777" w:rsidR="007123F1" w:rsidRPr="006331AB" w:rsidRDefault="007123F1" w:rsidP="00DD4DDA">
            <w:pPr>
              <w:spacing w:after="200"/>
            </w:pPr>
            <w:r w:rsidRPr="006331AB">
              <w:t>List of member problems it solves, highlighting underserved ones</w:t>
            </w:r>
          </w:p>
        </w:tc>
        <w:tc>
          <w:tcPr>
            <w:tcW w:w="0" w:type="auto"/>
            <w:vAlign w:val="center"/>
            <w:hideMark/>
          </w:tcPr>
          <w:p w14:paraId="0551B5B3" w14:textId="77777777" w:rsidR="007123F1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6:</w:t>
            </w:r>
            <w:r w:rsidRPr="006331AB">
              <w:t xml:space="preserve"> </w:t>
            </w:r>
            <w:r w:rsidRPr="006331AB">
              <w:rPr>
                <w:i/>
                <w:iCs/>
              </w:rPr>
              <w:t>“The Member Problems That Create Demand”</w:t>
            </w:r>
            <w:r w:rsidRPr="006331AB">
              <w:t>.</w:t>
            </w:r>
          </w:p>
          <w:p w14:paraId="2AB43D17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Gap Deck,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3</w:t>
            </w:r>
            <w:r w:rsidRPr="006331AB">
              <w:t>, reframed around undiagnosed, uncontrolled, disengaged and between-visit problems.</w:t>
            </w:r>
          </w:p>
        </w:tc>
      </w:tr>
      <w:tr w:rsidR="007123F1" w:rsidRPr="006331AB" w14:paraId="55EF6F4E" w14:textId="77777777" w:rsidTr="00DD4DD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42E6F5B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472DCF0" w14:textId="77777777" w:rsidR="007123F1" w:rsidRPr="006331AB" w:rsidRDefault="007123F1" w:rsidP="00DD4DDA">
            <w:pPr>
              <w:spacing w:after="200"/>
            </w:pPr>
            <w:r w:rsidRPr="006331AB">
              <w:t>Global market size and growth by region ($, CAGR)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592A5CD" w14:textId="6BA5D53E" w:rsidR="007123F1" w:rsidRPr="006331AB" w:rsidRDefault="007123F1" w:rsidP="00DD4DDA">
            <w:pPr>
              <w:spacing w:after="200"/>
            </w:pPr>
          </w:p>
        </w:tc>
      </w:tr>
      <w:tr w:rsidR="007123F1" w:rsidRPr="006331AB" w14:paraId="4EF3137D" w14:textId="77777777" w:rsidTr="00DD4DD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D8DE843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81445E2" w14:textId="77777777" w:rsidR="007123F1" w:rsidRPr="006331AB" w:rsidRDefault="007123F1" w:rsidP="00DD4DDA">
            <w:pPr>
              <w:spacing w:after="200"/>
            </w:pPr>
            <w:r w:rsidRPr="006331AB">
              <w:t>U.S. market size and growth by segment ($, CAGR)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CC9A607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Partial </w:t>
            </w:r>
            <w:r>
              <w:rPr>
                <w:b/>
                <w:bCs/>
              </w:rPr>
              <w:br/>
            </w: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13:</w:t>
            </w:r>
            <w:r w:rsidRPr="006331AB">
              <w:t xml:space="preserve"> care navigation sized at </w:t>
            </w:r>
            <w:r w:rsidRPr="006331AB">
              <w:rPr>
                <w:b/>
                <w:bCs/>
              </w:rPr>
              <w:t>$3.83B U.S. 2025 → $6.21B by 2031, 8.4% CAGR</w:t>
            </w:r>
            <w:r w:rsidRPr="006331AB">
              <w:t xml:space="preserve">. </w:t>
            </w:r>
            <w:r>
              <w:br/>
            </w:r>
            <w:r>
              <w:rPr>
                <w:b/>
                <w:bCs/>
              </w:rPr>
              <w:br/>
            </w:r>
            <w:r w:rsidRPr="006331AB">
              <w:rPr>
                <w:b/>
                <w:bCs/>
              </w:rPr>
              <w:t xml:space="preserve">Care Gap Deck,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8</w:t>
            </w:r>
            <w:r w:rsidRPr="006331AB">
              <w:t xml:space="preserve"> gives the adjacent chronic-care market at </w:t>
            </w:r>
            <w:r w:rsidRPr="006331AB">
              <w:rPr>
                <w:b/>
                <w:bCs/>
              </w:rPr>
              <w:t>$1.98B → $4.26B, 13.64% CAGR</w:t>
            </w:r>
            <w:r w:rsidRPr="006331AB">
              <w:t>.</w:t>
            </w:r>
          </w:p>
        </w:tc>
      </w:tr>
      <w:tr w:rsidR="007123F1" w:rsidRPr="006331AB" w14:paraId="7E642DB7" w14:textId="77777777" w:rsidTr="00DD4DD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E3F7E0C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4D371D1" w14:textId="77777777" w:rsidR="007123F1" w:rsidRPr="006331AB" w:rsidRDefault="007123F1" w:rsidP="00DD4DDA">
            <w:pPr>
              <w:spacing w:after="200"/>
            </w:pPr>
            <w:r w:rsidRPr="006331AB">
              <w:t xml:space="preserve">People-based </w:t>
            </w:r>
            <w:proofErr w:type="gramStart"/>
            <w:r w:rsidRPr="006331AB">
              <w:t>TAM: #</w:t>
            </w:r>
            <w:proofErr w:type="gramEnd"/>
            <w:r w:rsidRPr="006331AB">
              <w:t xml:space="preserve"> </w:t>
            </w:r>
            <w:proofErr w:type="gramStart"/>
            <w:r w:rsidRPr="006331AB">
              <w:t>people, #</w:t>
            </w:r>
            <w:proofErr w:type="gramEnd"/>
            <w:r w:rsidRPr="006331AB">
              <w:t xml:space="preserve"> employers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EC2487F" w14:textId="77777777" w:rsidR="007123F1" w:rsidRPr="006331AB" w:rsidRDefault="007123F1" w:rsidP="00DD4DDA">
            <w:pPr>
              <w:spacing w:after="200"/>
            </w:pPr>
          </w:p>
        </w:tc>
      </w:tr>
      <w:tr w:rsidR="007123F1" w:rsidRPr="006331AB" w14:paraId="030FC407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AFCD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Size &amp; Growth</w:t>
            </w:r>
          </w:p>
        </w:tc>
        <w:tc>
          <w:tcPr>
            <w:tcW w:w="0" w:type="auto"/>
            <w:vAlign w:val="center"/>
            <w:hideMark/>
          </w:tcPr>
          <w:p w14:paraId="3A774216" w14:textId="77777777" w:rsidR="007123F1" w:rsidRPr="006331AB" w:rsidRDefault="007123F1" w:rsidP="00DD4DDA">
            <w:pPr>
              <w:spacing w:after="200"/>
            </w:pPr>
            <w:r w:rsidRPr="006331AB">
              <w:t>Macro-level tailwinds and headwinds</w:t>
            </w:r>
          </w:p>
        </w:tc>
        <w:tc>
          <w:tcPr>
            <w:tcW w:w="0" w:type="auto"/>
            <w:vAlign w:val="center"/>
            <w:hideMark/>
          </w:tcPr>
          <w:p w14:paraId="0C2F0E14" w14:textId="77777777" w:rsidR="007123F1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8:</w:t>
            </w:r>
            <w:r w:rsidRPr="006331AB">
              <w:t xml:space="preserve"> </w:t>
            </w:r>
            <w:r w:rsidRPr="006331AB">
              <w:rPr>
                <w:i/>
                <w:iCs/>
              </w:rPr>
              <w:t>“What Is Pulling Demand Forward, and What Is Holding It Back.”</w:t>
            </w:r>
            <w:r w:rsidRPr="006331AB">
              <w:t xml:space="preserve"> </w:t>
            </w:r>
          </w:p>
          <w:p w14:paraId="043BBEB4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Gap Deck, Slide 7</w:t>
            </w:r>
            <w:r w:rsidRPr="006331AB">
              <w:t xml:space="preserve"> for the condition-management lens.</w:t>
            </w:r>
          </w:p>
        </w:tc>
      </w:tr>
      <w:tr w:rsidR="007123F1" w:rsidRPr="006331AB" w14:paraId="7D2FC7BC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02B5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lastRenderedPageBreak/>
              <w:t>Market attractiveness – Margin</w:t>
            </w:r>
          </w:p>
        </w:tc>
        <w:tc>
          <w:tcPr>
            <w:tcW w:w="0" w:type="auto"/>
            <w:vAlign w:val="center"/>
            <w:hideMark/>
          </w:tcPr>
          <w:p w14:paraId="42D49C25" w14:textId="77777777" w:rsidR="007123F1" w:rsidRPr="006331AB" w:rsidRDefault="007123F1" w:rsidP="00DD4DDA">
            <w:pPr>
              <w:spacing w:after="200"/>
            </w:pPr>
            <w:r w:rsidRPr="006331AB">
              <w:t>Business model / how companies make money</w:t>
            </w:r>
          </w:p>
        </w:tc>
        <w:tc>
          <w:tcPr>
            <w:tcW w:w="0" w:type="auto"/>
            <w:vAlign w:val="center"/>
            <w:hideMark/>
          </w:tcPr>
          <w:p w14:paraId="7176FF5F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9:</w:t>
            </w:r>
            <w:r w:rsidRPr="006331AB">
              <w:t xml:space="preserve"> recurring PMPM, performance-based fees, shared-value/utilization-based economics, plus employer economics bridge.</w:t>
            </w:r>
          </w:p>
        </w:tc>
      </w:tr>
      <w:tr w:rsidR="007123F1" w:rsidRPr="006331AB" w14:paraId="3A52181E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6A9D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Margin</w:t>
            </w:r>
          </w:p>
        </w:tc>
        <w:tc>
          <w:tcPr>
            <w:tcW w:w="0" w:type="auto"/>
            <w:vAlign w:val="center"/>
            <w:hideMark/>
          </w:tcPr>
          <w:p w14:paraId="1D1CD17E" w14:textId="77777777" w:rsidR="007123F1" w:rsidRPr="006331AB" w:rsidRDefault="007123F1" w:rsidP="00DD4DDA">
            <w:pPr>
              <w:spacing w:after="200"/>
            </w:pPr>
            <w:r w:rsidRPr="006331AB">
              <w:t>Overview of customers: who buys and how</w:t>
            </w:r>
          </w:p>
        </w:tc>
        <w:tc>
          <w:tcPr>
            <w:tcW w:w="0" w:type="auto"/>
            <w:vAlign w:val="center"/>
            <w:hideMark/>
          </w:tcPr>
          <w:p w14:paraId="759D9B0C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Slides</w:t>
            </w:r>
            <w:proofErr w:type="gramEnd"/>
            <w:r w:rsidRPr="006331AB">
              <w:rPr>
                <w:b/>
                <w:bCs/>
              </w:rPr>
              <w:t xml:space="preserve"> 9 and 12.</w:t>
            </w:r>
            <w:r w:rsidRPr="006331AB">
              <w:t xml:space="preserve"> Slide 9 identifies the primary buyer as the </w:t>
            </w:r>
            <w:r w:rsidRPr="006331AB">
              <w:rPr>
                <w:b/>
                <w:bCs/>
              </w:rPr>
              <w:t>self-funded employer / benefits-finance leadership</w:t>
            </w:r>
            <w:r w:rsidRPr="006331AB">
              <w:t>; Slide 12 lays out the employer buying process. Slide 13 adds customer profiles by competitor.</w:t>
            </w:r>
          </w:p>
        </w:tc>
      </w:tr>
      <w:tr w:rsidR="007123F1" w:rsidRPr="006331AB" w14:paraId="52D95C7D" w14:textId="77777777" w:rsidTr="00DD4DDA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A73FB01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Market attractiveness – Margin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E7159D6" w14:textId="77777777" w:rsidR="007123F1" w:rsidRPr="006331AB" w:rsidRDefault="007123F1" w:rsidP="00DD4DDA">
            <w:pPr>
              <w:spacing w:after="200"/>
            </w:pPr>
            <w:r w:rsidRPr="006331AB">
              <w:t>Typical gross margin and operating profits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D9045F9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 </w:t>
            </w:r>
          </w:p>
        </w:tc>
      </w:tr>
      <w:tr w:rsidR="007123F1" w:rsidRPr="006331AB" w14:paraId="58FC5C5B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0B23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Disruption</w:t>
            </w:r>
          </w:p>
        </w:tc>
        <w:tc>
          <w:tcPr>
            <w:tcW w:w="0" w:type="auto"/>
            <w:vAlign w:val="center"/>
            <w:hideMark/>
          </w:tcPr>
          <w:p w14:paraId="50BE34DA" w14:textId="77777777" w:rsidR="007123F1" w:rsidRPr="006331AB" w:rsidRDefault="007123F1" w:rsidP="00DD4DDA">
            <w:pPr>
              <w:spacing w:after="200"/>
            </w:pPr>
            <w:r w:rsidRPr="006331AB">
              <w:t>How AI is disrupting the market</w:t>
            </w:r>
          </w:p>
        </w:tc>
        <w:tc>
          <w:tcPr>
            <w:tcW w:w="0" w:type="auto"/>
            <w:vAlign w:val="center"/>
            <w:hideMark/>
          </w:tcPr>
          <w:p w14:paraId="2BFE61D8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Care Navigation Market Landscape,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10:</w:t>
            </w:r>
            <w:r w:rsidRPr="006331AB">
              <w:t xml:space="preserve"> </w:t>
            </w:r>
            <w:r w:rsidRPr="006331AB">
              <w:rPr>
                <w:i/>
                <w:iCs/>
              </w:rPr>
              <w:t>“AI Is Changing the Front Door, Not Eliminating the Hard Parts.”</w:t>
            </w:r>
            <w:r w:rsidRPr="006331AB">
              <w:t xml:space="preserve"> </w:t>
            </w:r>
            <w:r>
              <w:br/>
            </w:r>
            <w:r w:rsidRPr="006331AB">
              <w:rPr>
                <w:b/>
                <w:bCs/>
              </w:rPr>
              <w:t xml:space="preserve">Care Gap Deck,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8</w:t>
            </w:r>
            <w:r w:rsidRPr="006331AB">
              <w:t xml:space="preserve"> covers AI disruption in chronic care.</w:t>
            </w:r>
          </w:p>
        </w:tc>
      </w:tr>
      <w:tr w:rsidR="007123F1" w:rsidRPr="006331AB" w14:paraId="42E78B4C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F46F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Disruption</w:t>
            </w:r>
          </w:p>
        </w:tc>
        <w:tc>
          <w:tcPr>
            <w:tcW w:w="0" w:type="auto"/>
            <w:vAlign w:val="center"/>
            <w:hideMark/>
          </w:tcPr>
          <w:p w14:paraId="36013D50" w14:textId="77777777" w:rsidR="007123F1" w:rsidRPr="006331AB" w:rsidRDefault="007123F1" w:rsidP="00DD4DDA">
            <w:pPr>
              <w:spacing w:after="200"/>
            </w:pPr>
            <w:r w:rsidRPr="006331AB">
              <w:t>New entrants and innovators</w:t>
            </w:r>
          </w:p>
        </w:tc>
        <w:tc>
          <w:tcPr>
            <w:tcW w:w="0" w:type="auto"/>
            <w:vAlign w:val="center"/>
            <w:hideMark/>
          </w:tcPr>
          <w:p w14:paraId="6899EA9F" w14:textId="77777777" w:rsidR="007123F1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13.</w:t>
            </w:r>
            <w:r w:rsidRPr="006331AB">
              <w:t xml:space="preserve"> Importantly, its conclusion is that </w:t>
            </w:r>
            <w:r w:rsidRPr="006331AB">
              <w:rPr>
                <w:b/>
                <w:bCs/>
              </w:rPr>
              <w:t>consolidation, rather than new entrants, is reshaping care navigation</w:t>
            </w:r>
            <w:r w:rsidRPr="006331AB">
              <w:t xml:space="preserve">. </w:t>
            </w:r>
          </w:p>
          <w:p w14:paraId="73CAB751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Gap Slide 8</w:t>
            </w:r>
            <w:r w:rsidRPr="006331AB">
              <w:t xml:space="preserve"> covers newer innovation in adjacent chronic care.</w:t>
            </w:r>
          </w:p>
        </w:tc>
      </w:tr>
      <w:tr w:rsidR="007123F1" w:rsidRPr="006331AB" w14:paraId="284775B7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B99A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Disruption</w:t>
            </w:r>
          </w:p>
        </w:tc>
        <w:tc>
          <w:tcPr>
            <w:tcW w:w="0" w:type="auto"/>
            <w:vAlign w:val="center"/>
            <w:hideMark/>
          </w:tcPr>
          <w:p w14:paraId="39F81E5D" w14:textId="77777777" w:rsidR="007123F1" w:rsidRPr="006331AB" w:rsidRDefault="007123F1" w:rsidP="00DD4DDA">
            <w:pPr>
              <w:spacing w:after="200"/>
            </w:pPr>
            <w:r w:rsidRPr="006331AB">
              <w:t>Where VC money is flowing</w:t>
            </w:r>
          </w:p>
        </w:tc>
        <w:tc>
          <w:tcPr>
            <w:tcW w:w="0" w:type="auto"/>
            <w:vAlign w:val="center"/>
            <w:hideMark/>
          </w:tcPr>
          <w:p w14:paraId="7EB1B251" w14:textId="77777777" w:rsidR="007123F1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13.</w:t>
            </w:r>
            <w:r w:rsidRPr="006331AB">
              <w:t xml:space="preserve"> </w:t>
            </w:r>
          </w:p>
          <w:p w14:paraId="0212DA25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Gap Deck, Slide 8</w:t>
            </w:r>
            <w:r w:rsidRPr="006331AB">
              <w:t xml:space="preserve"> </w:t>
            </w:r>
          </w:p>
        </w:tc>
      </w:tr>
      <w:tr w:rsidR="007123F1" w:rsidRPr="006331AB" w14:paraId="429CDF9A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B0C4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Competitive landscape</w:t>
            </w:r>
          </w:p>
        </w:tc>
        <w:tc>
          <w:tcPr>
            <w:tcW w:w="0" w:type="auto"/>
            <w:vAlign w:val="center"/>
            <w:hideMark/>
          </w:tcPr>
          <w:p w14:paraId="1C394465" w14:textId="77777777" w:rsidR="007123F1" w:rsidRPr="006331AB" w:rsidRDefault="007123F1" w:rsidP="00DD4DDA">
            <w:pPr>
              <w:spacing w:after="200"/>
            </w:pPr>
            <w:r w:rsidRPr="006331AB">
              <w:t>5–7 leading company profiles</w:t>
            </w:r>
          </w:p>
        </w:tc>
        <w:tc>
          <w:tcPr>
            <w:tcW w:w="0" w:type="auto"/>
            <w:vAlign w:val="center"/>
            <w:hideMark/>
          </w:tcPr>
          <w:p w14:paraId="5C018D76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Slides 11 and 13</w:t>
            </w:r>
          </w:p>
        </w:tc>
      </w:tr>
      <w:tr w:rsidR="007123F1" w:rsidRPr="006331AB" w14:paraId="720DF2B2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FAD4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lastRenderedPageBreak/>
              <w:t>Competition &amp; structure – Competitive landscape</w:t>
            </w:r>
          </w:p>
        </w:tc>
        <w:tc>
          <w:tcPr>
            <w:tcW w:w="0" w:type="auto"/>
            <w:vAlign w:val="center"/>
            <w:hideMark/>
          </w:tcPr>
          <w:p w14:paraId="4CB54F5C" w14:textId="77777777" w:rsidR="007123F1" w:rsidRPr="006331AB" w:rsidRDefault="007123F1" w:rsidP="00DD4DDA">
            <w:pPr>
              <w:spacing w:after="200"/>
            </w:pPr>
            <w:r w:rsidRPr="006331AB">
              <w:t>Scale: 2025 revenue and growth</w:t>
            </w:r>
          </w:p>
        </w:tc>
        <w:tc>
          <w:tcPr>
            <w:tcW w:w="0" w:type="auto"/>
            <w:vAlign w:val="center"/>
            <w:hideMark/>
          </w:tcPr>
          <w:p w14:paraId="62B26D0A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13.</w:t>
            </w:r>
            <w:r w:rsidRPr="006331AB">
              <w:t xml:space="preserve"> </w:t>
            </w:r>
          </w:p>
        </w:tc>
      </w:tr>
      <w:tr w:rsidR="007123F1" w:rsidRPr="006331AB" w14:paraId="400EE27B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7D3E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Competitive landscape</w:t>
            </w:r>
          </w:p>
        </w:tc>
        <w:tc>
          <w:tcPr>
            <w:tcW w:w="0" w:type="auto"/>
            <w:vAlign w:val="center"/>
            <w:hideMark/>
          </w:tcPr>
          <w:p w14:paraId="3EE580A0" w14:textId="77777777" w:rsidR="007123F1" w:rsidRPr="006331AB" w:rsidRDefault="007123F1" w:rsidP="00DD4DDA">
            <w:pPr>
              <w:spacing w:after="200"/>
            </w:pPr>
            <w:r w:rsidRPr="006331AB">
              <w:t>Customer profile served</w:t>
            </w:r>
          </w:p>
        </w:tc>
        <w:tc>
          <w:tcPr>
            <w:tcW w:w="0" w:type="auto"/>
            <w:vAlign w:val="center"/>
            <w:hideMark/>
          </w:tcPr>
          <w:p w14:paraId="05845072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13.</w:t>
            </w:r>
          </w:p>
        </w:tc>
      </w:tr>
      <w:tr w:rsidR="007123F1" w:rsidRPr="006331AB" w14:paraId="24A2CC13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63F3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Competitive landscape</w:t>
            </w:r>
          </w:p>
        </w:tc>
        <w:tc>
          <w:tcPr>
            <w:tcW w:w="0" w:type="auto"/>
            <w:vAlign w:val="center"/>
            <w:hideMark/>
          </w:tcPr>
          <w:p w14:paraId="00EE1DE6" w14:textId="77777777" w:rsidR="007123F1" w:rsidRPr="006331AB" w:rsidRDefault="007123F1" w:rsidP="00DD4DDA">
            <w:pPr>
              <w:spacing w:after="200"/>
            </w:pPr>
            <w:r w:rsidRPr="006331AB"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49FDB202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13.</w:t>
            </w:r>
          </w:p>
        </w:tc>
      </w:tr>
      <w:tr w:rsidR="007123F1" w:rsidRPr="006331AB" w14:paraId="68B460F5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47BAF93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Competitive landscape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80B567E" w14:textId="77777777" w:rsidR="007123F1" w:rsidRPr="006331AB" w:rsidRDefault="007123F1" w:rsidP="00DD4DDA">
            <w:pPr>
              <w:spacing w:after="200"/>
            </w:pPr>
            <w:r w:rsidRPr="006331AB">
              <w:t>Pricing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602138A" w14:textId="77777777" w:rsidR="007123F1" w:rsidRPr="006331AB" w:rsidRDefault="007123F1" w:rsidP="00DD4DDA">
            <w:pPr>
              <w:spacing w:after="200"/>
            </w:pPr>
            <w:r w:rsidRPr="007123F1">
              <w:t>Covered to extent publicly available</w:t>
            </w:r>
            <w:r w:rsidRPr="006331A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Pr="006331AB">
              <w:rPr>
                <w:b/>
                <w:bCs/>
              </w:rPr>
              <w:t>Care Navigation Market Landscape, Slide 13</w:t>
            </w:r>
          </w:p>
        </w:tc>
      </w:tr>
      <w:tr w:rsidR="007123F1" w:rsidRPr="006331AB" w14:paraId="6DFD81CC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904F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Competitive landscape</w:t>
            </w:r>
          </w:p>
        </w:tc>
        <w:tc>
          <w:tcPr>
            <w:tcW w:w="0" w:type="auto"/>
            <w:vAlign w:val="center"/>
            <w:hideMark/>
          </w:tcPr>
          <w:p w14:paraId="5CC529D3" w14:textId="77777777" w:rsidR="007123F1" w:rsidRPr="006331AB" w:rsidRDefault="007123F1" w:rsidP="00DD4DDA">
            <w:pPr>
              <w:spacing w:after="200"/>
            </w:pPr>
            <w:r w:rsidRPr="006331AB">
              <w:t>Key capabilities mapped across competitors</w:t>
            </w:r>
          </w:p>
        </w:tc>
        <w:tc>
          <w:tcPr>
            <w:tcW w:w="0" w:type="auto"/>
            <w:vAlign w:val="center"/>
            <w:hideMark/>
          </w:tcPr>
          <w:p w14:paraId="12E258B3" w14:textId="77777777" w:rsidR="007123F1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11</w:t>
            </w:r>
            <w:r>
              <w:rPr>
                <w:b/>
                <w:bCs/>
              </w:rPr>
              <w:br/>
            </w:r>
          </w:p>
          <w:p w14:paraId="107184BA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Gap Deck, Slide 6</w:t>
            </w:r>
            <w:r w:rsidRPr="006331AB">
              <w:t xml:space="preserve"> </w:t>
            </w:r>
          </w:p>
        </w:tc>
      </w:tr>
      <w:tr w:rsidR="007123F1" w:rsidRPr="006331AB" w14:paraId="252A7FAB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7216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Barriers</w:t>
            </w:r>
          </w:p>
        </w:tc>
        <w:tc>
          <w:tcPr>
            <w:tcW w:w="0" w:type="auto"/>
            <w:vAlign w:val="center"/>
            <w:hideMark/>
          </w:tcPr>
          <w:p w14:paraId="354A7CF3" w14:textId="77777777" w:rsidR="007123F1" w:rsidRPr="006331AB" w:rsidRDefault="007123F1" w:rsidP="00DD4DDA">
            <w:pPr>
              <w:spacing w:after="200"/>
            </w:pPr>
            <w:r w:rsidRPr="006331AB">
              <w:t>Regulatory / structural barriers to entry</w:t>
            </w:r>
          </w:p>
        </w:tc>
        <w:tc>
          <w:tcPr>
            <w:tcW w:w="0" w:type="auto"/>
            <w:vAlign w:val="center"/>
            <w:hideMark/>
          </w:tcPr>
          <w:p w14:paraId="05A850A5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12.</w:t>
            </w:r>
            <w:r w:rsidRPr="006331AB">
              <w:t xml:space="preserve"> </w:t>
            </w:r>
          </w:p>
        </w:tc>
      </w:tr>
      <w:tr w:rsidR="007123F1" w:rsidRPr="006331AB" w14:paraId="4233FD46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7FA9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Barriers</w:t>
            </w:r>
          </w:p>
        </w:tc>
        <w:tc>
          <w:tcPr>
            <w:tcW w:w="0" w:type="auto"/>
            <w:vAlign w:val="center"/>
            <w:hideMark/>
          </w:tcPr>
          <w:p w14:paraId="78DE6D9A" w14:textId="77777777" w:rsidR="007123F1" w:rsidRPr="006331AB" w:rsidRDefault="007123F1" w:rsidP="00DD4DDA">
            <w:pPr>
              <w:spacing w:after="200"/>
            </w:pPr>
            <w:r w:rsidRPr="006331AB">
              <w:t>Pathway to sell into employers</w:t>
            </w:r>
          </w:p>
        </w:tc>
        <w:tc>
          <w:tcPr>
            <w:tcW w:w="0" w:type="auto"/>
            <w:vAlign w:val="center"/>
            <w:hideMark/>
          </w:tcPr>
          <w:p w14:paraId="081FACC7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12.</w:t>
            </w:r>
            <w:r w:rsidRPr="006331AB">
              <w:t xml:space="preserve"> </w:t>
            </w:r>
          </w:p>
        </w:tc>
      </w:tr>
      <w:tr w:rsidR="007123F1" w:rsidRPr="006331AB" w14:paraId="1EED8964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3BFF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Competition &amp; structure – Barriers</w:t>
            </w:r>
          </w:p>
        </w:tc>
        <w:tc>
          <w:tcPr>
            <w:tcW w:w="0" w:type="auto"/>
            <w:vAlign w:val="center"/>
            <w:hideMark/>
          </w:tcPr>
          <w:p w14:paraId="0872901D" w14:textId="77777777" w:rsidR="007123F1" w:rsidRPr="006331AB" w:rsidRDefault="007123F1" w:rsidP="00DD4DDA">
            <w:pPr>
              <w:spacing w:after="200"/>
            </w:pPr>
            <w:r w:rsidRPr="006331AB">
              <w:t>Annual buying cycle of employers</w:t>
            </w:r>
          </w:p>
        </w:tc>
        <w:tc>
          <w:tcPr>
            <w:tcW w:w="0" w:type="auto"/>
            <w:vAlign w:val="center"/>
            <w:hideMark/>
          </w:tcPr>
          <w:p w14:paraId="2E0F6049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Navigation Market Landscape, Slide 12.</w:t>
            </w:r>
            <w:r w:rsidRPr="006331AB">
              <w:t xml:space="preserve"> </w:t>
            </w:r>
          </w:p>
        </w:tc>
      </w:tr>
      <w:tr w:rsidR="007123F1" w:rsidRPr="006331AB" w14:paraId="34F53D73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9600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lastRenderedPageBreak/>
              <w:t>Oura positioning – Right-to-win</w:t>
            </w:r>
          </w:p>
        </w:tc>
        <w:tc>
          <w:tcPr>
            <w:tcW w:w="0" w:type="auto"/>
            <w:vAlign w:val="center"/>
            <w:hideMark/>
          </w:tcPr>
          <w:p w14:paraId="72D33B37" w14:textId="77777777" w:rsidR="007123F1" w:rsidRPr="006331AB" w:rsidRDefault="007123F1" w:rsidP="00DD4DDA">
            <w:pPr>
              <w:spacing w:after="200"/>
            </w:pPr>
            <w:r w:rsidRPr="006331AB">
              <w:t>Capability map: Oura vs. top 3 competitors</w:t>
            </w:r>
          </w:p>
        </w:tc>
        <w:tc>
          <w:tcPr>
            <w:tcW w:w="0" w:type="auto"/>
            <w:vAlign w:val="center"/>
            <w:hideMark/>
          </w:tcPr>
          <w:p w14:paraId="2C93962E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Care Nav Slide 11</w:t>
            </w:r>
            <w:r w:rsidRPr="006331AB">
              <w:t xml:space="preserve"> and </w:t>
            </w:r>
            <w:r w:rsidRPr="006331AB">
              <w:rPr>
                <w:b/>
                <w:bCs/>
              </w:rPr>
              <w:t>Care Gap Slide 6</w:t>
            </w:r>
          </w:p>
        </w:tc>
      </w:tr>
      <w:tr w:rsidR="007123F1" w:rsidRPr="006331AB" w14:paraId="6791913D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F433D58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Oura positioning – Right-to-win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1952746" w14:textId="77777777" w:rsidR="007123F1" w:rsidRPr="006331AB" w:rsidRDefault="007123F1" w:rsidP="00DD4DDA">
            <w:pPr>
              <w:spacing w:after="200"/>
            </w:pPr>
            <w:r w:rsidRPr="006331AB">
              <w:t>Table-stakes capabilities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21054CA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Partial.</w:t>
            </w:r>
            <w:r w:rsidRPr="006331AB">
              <w:t xml:space="preserve"> Care Nav Slide 3 identifies what full-service navigation requires; Board Deck Slide 13 distinguishes what Oura has today vs. what it needs to build. It is not explicitly labeled “table stakes.”</w:t>
            </w:r>
          </w:p>
        </w:tc>
      </w:tr>
      <w:tr w:rsidR="007123F1" w:rsidRPr="006331AB" w14:paraId="6BBC96AC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B26B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Oura positioning – Right-to-win</w:t>
            </w:r>
          </w:p>
        </w:tc>
        <w:tc>
          <w:tcPr>
            <w:tcW w:w="0" w:type="auto"/>
            <w:vAlign w:val="center"/>
            <w:hideMark/>
          </w:tcPr>
          <w:p w14:paraId="2F3283DF" w14:textId="77777777" w:rsidR="007123F1" w:rsidRPr="006331AB" w:rsidRDefault="007123F1" w:rsidP="00DD4DDA">
            <w:pPr>
              <w:spacing w:after="200"/>
            </w:pPr>
            <w:r w:rsidRPr="006331AB">
              <w:t>Differentiating capabilities</w:t>
            </w:r>
          </w:p>
        </w:tc>
        <w:tc>
          <w:tcPr>
            <w:tcW w:w="0" w:type="auto"/>
            <w:vAlign w:val="center"/>
            <w:hideMark/>
          </w:tcPr>
          <w:p w14:paraId="3FF9C30D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Segoe UI Emoji" w:hAnsi="Segoe UI Emoji" w:cs="Segoe UI Emoji"/>
                <w:b/>
                <w:bCs/>
              </w:rPr>
              <w:t>✅</w:t>
            </w:r>
            <w:r w:rsidRPr="006331AB">
              <w:rPr>
                <w:b/>
                <w:bCs/>
              </w:rPr>
              <w:t xml:space="preserve"> Substantively covered – Board Deck, Slide 7:</w:t>
            </w:r>
            <w:r w:rsidRPr="006331AB">
              <w:t xml:space="preserve"> Oura's differentiated combination of </w:t>
            </w:r>
            <w:r w:rsidRPr="006331AB">
              <w:rPr>
                <w:b/>
                <w:bCs/>
              </w:rPr>
              <w:t>signal + engagement + action</w:t>
            </w:r>
            <w:r w:rsidRPr="006331AB">
              <w:t xml:space="preserve">. </w:t>
            </w:r>
            <w:r w:rsidRPr="006331AB">
              <w:rPr>
                <w:b/>
                <w:bCs/>
              </w:rPr>
              <w:t>Care Gap Slides 4–5</w:t>
            </w:r>
            <w:r w:rsidRPr="006331AB">
              <w:t xml:space="preserve"> reinforce continuous data, engagement and care-gap activation as the whitespace.</w:t>
            </w:r>
          </w:p>
        </w:tc>
      </w:tr>
      <w:tr w:rsidR="007123F1" w:rsidRPr="006331AB" w14:paraId="1DA0E7BA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333B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Oura positioning – Right-to-win</w:t>
            </w:r>
          </w:p>
        </w:tc>
        <w:tc>
          <w:tcPr>
            <w:tcW w:w="0" w:type="auto"/>
            <w:vAlign w:val="center"/>
            <w:hideMark/>
          </w:tcPr>
          <w:p w14:paraId="72D323E4" w14:textId="77777777" w:rsidR="007123F1" w:rsidRPr="006331AB" w:rsidRDefault="007123F1" w:rsidP="00DD4DDA">
            <w:pPr>
              <w:spacing w:after="200"/>
            </w:pPr>
            <w:r w:rsidRPr="006331AB">
              <w:t>Explanation of Oura's competitive advantage</w:t>
            </w:r>
          </w:p>
        </w:tc>
        <w:tc>
          <w:tcPr>
            <w:tcW w:w="0" w:type="auto"/>
            <w:vAlign w:val="center"/>
            <w:hideMark/>
          </w:tcPr>
          <w:p w14:paraId="2914CA48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Segoe UI Emoji" w:hAnsi="Segoe UI Emoji" w:cs="Segoe UI Emoji"/>
                <w:b/>
                <w:bCs/>
              </w:rPr>
              <w:t>✅</w:t>
            </w:r>
            <w:r w:rsidRPr="006331AB">
              <w:rPr>
                <w:b/>
                <w:bCs/>
              </w:rPr>
              <w:t xml:space="preserve"> Covered in narrative – Board Deck Slide 7; Care Gap Slide 4; Care Navigation Slide 3.</w:t>
            </w:r>
            <w:r w:rsidRPr="006331AB">
              <w:t xml:space="preserve"> The core argument is continuous signals + daily engagement + ability to activate action earlier than episodic incumbents.</w:t>
            </w:r>
          </w:p>
        </w:tc>
      </w:tr>
      <w:tr w:rsidR="007123F1" w:rsidRPr="006331AB" w14:paraId="4BBFEBCF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0E68D8E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Oura positioning – Right-to-win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7D16942" w14:textId="77777777" w:rsidR="007123F1" w:rsidRPr="006331AB" w:rsidRDefault="007123F1" w:rsidP="00DD4DDA">
            <w:pPr>
              <w:spacing w:after="200"/>
            </w:pPr>
            <w:r w:rsidRPr="006331AB">
              <w:t>Hamilton Helmer's 7 Powers assessment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7BFFFA9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○ Gap.</w:t>
            </w:r>
            <w:r w:rsidRPr="006331AB">
              <w:t xml:space="preserve"> No formal 7 Powers assessment currently appears in any of the decks.</w:t>
            </w:r>
          </w:p>
        </w:tc>
      </w:tr>
      <w:tr w:rsidR="007123F1" w:rsidRPr="006331AB" w14:paraId="716B0B78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2FE1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Oura positioning – Right-to-win</w:t>
            </w:r>
          </w:p>
        </w:tc>
        <w:tc>
          <w:tcPr>
            <w:tcW w:w="0" w:type="auto"/>
            <w:vAlign w:val="center"/>
            <w:hideMark/>
          </w:tcPr>
          <w:p w14:paraId="7A278FBE" w14:textId="77777777" w:rsidR="007123F1" w:rsidRPr="006331AB" w:rsidRDefault="007123F1" w:rsidP="00DD4DDA">
            <w:pPr>
              <w:spacing w:after="200"/>
            </w:pPr>
            <w:r w:rsidRPr="006331AB">
              <w:t>Capability gaps Oura must close</w:t>
            </w:r>
          </w:p>
        </w:tc>
        <w:tc>
          <w:tcPr>
            <w:tcW w:w="0" w:type="auto"/>
            <w:vAlign w:val="center"/>
            <w:hideMark/>
          </w:tcPr>
          <w:p w14:paraId="5AC27764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Segoe UI Emoji" w:hAnsi="Segoe UI Emoji" w:cs="Segoe UI Emoji"/>
                <w:b/>
                <w:bCs/>
              </w:rPr>
              <w:t>✅</w:t>
            </w:r>
            <w:r w:rsidRPr="006331AB">
              <w:rPr>
                <w:b/>
                <w:bCs/>
              </w:rPr>
              <w:t xml:space="preserve"> Covered – Board Deck,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13:</w:t>
            </w:r>
            <w:r w:rsidRPr="006331AB">
              <w:t xml:space="preserve"> </w:t>
            </w:r>
            <w:r w:rsidRPr="006331AB">
              <w:rPr>
                <w:i/>
                <w:iCs/>
              </w:rPr>
              <w:t>“What Oura needs to build.”</w:t>
            </w:r>
            <w:r w:rsidRPr="006331AB">
              <w:t xml:space="preserve"> Includes predictive care-need models, condition activation plans, deeper condition models, closed-loop adherence, specialty network, claims/benefits integration, impact measurement and potentially human navigators. Care Nav Slide 3 reinforces the larger full-navigation gaps.</w:t>
            </w:r>
          </w:p>
        </w:tc>
      </w:tr>
      <w:tr w:rsidR="007123F1" w:rsidRPr="006331AB" w14:paraId="7452838A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FA1F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lastRenderedPageBreak/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vAlign w:val="center"/>
            <w:hideMark/>
          </w:tcPr>
          <w:p w14:paraId="57BF5718" w14:textId="77777777" w:rsidR="007123F1" w:rsidRPr="006331AB" w:rsidRDefault="007123F1" w:rsidP="00DD4DDA">
            <w:pPr>
              <w:spacing w:after="200"/>
            </w:pPr>
            <w:r w:rsidRPr="006331AB">
              <w:t>How does this become a $250M+ opportunity in three years?</w:t>
            </w:r>
          </w:p>
        </w:tc>
        <w:tc>
          <w:tcPr>
            <w:tcW w:w="0" w:type="auto"/>
            <w:vAlign w:val="center"/>
            <w:hideMark/>
          </w:tcPr>
          <w:p w14:paraId="627D19C5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Covered at a higher ambition </w:t>
            </w:r>
            <w:r w:rsidRPr="006331AB">
              <w:rPr>
                <w:rFonts w:ascii="Aptos" w:hAnsi="Aptos" w:cs="Aptos"/>
                <w:b/>
                <w:bCs/>
              </w:rPr>
              <w:t>–</w:t>
            </w:r>
            <w:r w:rsidRPr="006331AB">
              <w:rPr>
                <w:b/>
                <w:bCs/>
              </w:rPr>
              <w:t xml:space="preserve"> Board Deck, </w:t>
            </w:r>
            <w:proofErr w:type="gramStart"/>
            <w:r w:rsidRPr="006331AB">
              <w:rPr>
                <w:b/>
                <w:bCs/>
              </w:rPr>
              <w:t>Slides</w:t>
            </w:r>
            <w:proofErr w:type="gramEnd"/>
            <w:r w:rsidRPr="006331AB">
              <w:rPr>
                <w:b/>
                <w:bCs/>
              </w:rPr>
              <w:t xml:space="preserve"> 3 and 14:</w:t>
            </w:r>
            <w:r w:rsidRPr="006331AB">
              <w:t xml:space="preserve"> currently framed as a </w:t>
            </w:r>
            <w:r w:rsidRPr="006331AB">
              <w:rPr>
                <w:b/>
                <w:bCs/>
              </w:rPr>
              <w:t>$500M three-year ambition</w:t>
            </w:r>
            <w:r w:rsidRPr="006331AB">
              <w:t>. The headline is there; the detailed bridge from assumptions → $500M still needs to be made fully explicit.</w:t>
            </w:r>
          </w:p>
        </w:tc>
      </w:tr>
      <w:tr w:rsidR="007123F1" w:rsidRPr="006331AB" w14:paraId="0065204C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C8D3155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FAA4871" w14:textId="77777777" w:rsidR="007123F1" w:rsidRPr="006331AB" w:rsidRDefault="007123F1" w:rsidP="00DD4DDA">
            <w:pPr>
              <w:spacing w:after="200"/>
            </w:pPr>
            <w:r w:rsidRPr="006331AB">
              <w:t>Market share and revenue, Years 1–3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2AA0A96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Partial </w:t>
            </w:r>
            <w:r w:rsidRPr="006331AB">
              <w:rPr>
                <w:rFonts w:ascii="Aptos" w:hAnsi="Aptos" w:cs="Aptos"/>
                <w:b/>
                <w:bCs/>
              </w:rPr>
              <w:t>–</w:t>
            </w:r>
            <w:r w:rsidRPr="006331AB">
              <w:rPr>
                <w:b/>
                <w:bCs/>
              </w:rPr>
              <w:t xml:space="preserve"> Board Deck, </w:t>
            </w:r>
            <w:proofErr w:type="gramStart"/>
            <w:r w:rsidRPr="006331AB">
              <w:rPr>
                <w:b/>
                <w:bCs/>
              </w:rPr>
              <w:t>Slide</w:t>
            </w:r>
            <w:proofErr w:type="gramEnd"/>
            <w:r w:rsidRPr="006331AB">
              <w:rPr>
                <w:b/>
                <w:bCs/>
              </w:rPr>
              <w:t xml:space="preserve"> 3</w:t>
            </w:r>
            <w:r w:rsidRPr="006331AB">
              <w:t xml:space="preserve"> uses ~</w:t>
            </w:r>
            <w:r w:rsidRPr="006331AB">
              <w:rPr>
                <w:b/>
                <w:bCs/>
              </w:rPr>
              <w:t xml:space="preserve">1% of employees at </w:t>
            </w:r>
            <w:proofErr w:type="gramStart"/>
            <w:r w:rsidRPr="006331AB">
              <w:rPr>
                <w:b/>
                <w:bCs/>
              </w:rPr>
              <w:t>large self-insured</w:t>
            </w:r>
            <w:proofErr w:type="gramEnd"/>
            <w:r w:rsidRPr="006331AB">
              <w:rPr>
                <w:b/>
                <w:bCs/>
              </w:rPr>
              <w:t xml:space="preserve"> employers / 1.34M employees</w:t>
            </w:r>
            <w:r w:rsidRPr="006331AB">
              <w:t xml:space="preserve"> as the target endpoint, but does not currently show a clean </w:t>
            </w:r>
            <w:r w:rsidRPr="006331AB">
              <w:rPr>
                <w:b/>
                <w:bCs/>
              </w:rPr>
              <w:t>Year 1 → Year 2 → Year 3 market-share/revenue ramp</w:t>
            </w:r>
            <w:r w:rsidRPr="006331AB">
              <w:t>.</w:t>
            </w:r>
          </w:p>
        </w:tc>
      </w:tr>
      <w:tr w:rsidR="007123F1" w:rsidRPr="006331AB" w14:paraId="0448F31B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294A434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B6C3941" w14:textId="77777777" w:rsidR="007123F1" w:rsidRPr="006331AB" w:rsidRDefault="007123F1" w:rsidP="00DD4DDA">
            <w:pPr>
              <w:spacing w:after="200"/>
            </w:pPr>
            <w:r w:rsidRPr="006331AB">
              <w:t>Number of employer customers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1DD5D16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○ Gap.</w:t>
            </w:r>
            <w:r w:rsidRPr="006331AB">
              <w:t xml:space="preserve"> The current model is primarily member-based; there is no explicit employer-count bridge to the three-year target.</w:t>
            </w:r>
          </w:p>
        </w:tc>
      </w:tr>
      <w:tr w:rsidR="007123F1" w:rsidRPr="006331AB" w14:paraId="2EECB171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DA30BAD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303E6E1" w14:textId="77777777" w:rsidR="007123F1" w:rsidRPr="006331AB" w:rsidRDefault="007123F1" w:rsidP="00DD4DDA">
            <w:pPr>
              <w:spacing w:after="200"/>
            </w:pPr>
            <w:r w:rsidRPr="006331AB">
              <w:t>Employee adoption vs. standard adoption rates today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7BD2977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Partial.</w:t>
            </w:r>
            <w:r w:rsidRPr="006331AB">
              <w:t xml:space="preserve"> Board Deck establishes the Ring-purchaser population and B2B2C model, but a benchmarked adoption-rate case versus current employer/wellness programs is not explicitly shown.</w:t>
            </w:r>
          </w:p>
        </w:tc>
      </w:tr>
      <w:tr w:rsidR="007123F1" w:rsidRPr="006331AB" w14:paraId="03E2883F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1597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vAlign w:val="center"/>
            <w:hideMark/>
          </w:tcPr>
          <w:p w14:paraId="06291E05" w14:textId="77777777" w:rsidR="007123F1" w:rsidRPr="006331AB" w:rsidRDefault="007123F1" w:rsidP="00DD4DDA">
            <w:pPr>
              <w:spacing w:after="200"/>
            </w:pPr>
            <w:r w:rsidRPr="006331AB">
              <w:t>Pricing and implied employer cost savings</w:t>
            </w:r>
          </w:p>
        </w:tc>
        <w:tc>
          <w:tcPr>
            <w:tcW w:w="0" w:type="auto"/>
            <w:vAlign w:val="center"/>
            <w:hideMark/>
          </w:tcPr>
          <w:p w14:paraId="72716953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Segoe UI Emoji" w:hAnsi="Segoe UI Emoji" w:cs="Segoe UI Emoji"/>
                <w:b/>
                <w:bCs/>
              </w:rPr>
              <w:t>✅</w:t>
            </w:r>
            <w:r w:rsidRPr="006331AB">
              <w:rPr>
                <w:b/>
                <w:bCs/>
              </w:rPr>
              <w:t xml:space="preserve"> / </w:t>
            </w: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Substantially covered.</w:t>
            </w:r>
            <w:r w:rsidRPr="006331AB">
              <w:t xml:space="preserve"> </w:t>
            </w:r>
            <w:r w:rsidRPr="006331AB">
              <w:rPr>
                <w:b/>
                <w:bCs/>
              </w:rPr>
              <w:t>Board Deck Slide 12</w:t>
            </w:r>
            <w:r w:rsidRPr="006331AB">
              <w:t xml:space="preserve"> models ~$96.8M membership cost vs. ~$209.1M savings / </w:t>
            </w:r>
            <w:r w:rsidRPr="006331AB">
              <w:rPr>
                <w:b/>
                <w:bCs/>
              </w:rPr>
              <w:t>2.2x ROI</w:t>
            </w:r>
            <w:r w:rsidRPr="006331AB">
              <w:t xml:space="preserve">. </w:t>
            </w:r>
            <w:r w:rsidRPr="006331AB">
              <w:rPr>
                <w:b/>
                <w:bCs/>
              </w:rPr>
              <w:t>Care Navigation Slide 9</w:t>
            </w:r>
            <w:r w:rsidRPr="006331AB">
              <w:t xml:space="preserve"> provides the possible PMPM/performance/shared-value commercial structures. Pricing still needs to be finalized.</w:t>
            </w:r>
          </w:p>
        </w:tc>
      </w:tr>
      <w:tr w:rsidR="007123F1" w:rsidRPr="006331AB" w14:paraId="4F54A17E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4918C5D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What </w:t>
            </w:r>
            <w:proofErr w:type="gramStart"/>
            <w:r w:rsidRPr="006331AB">
              <w:rPr>
                <w:b/>
                <w:bCs/>
              </w:rPr>
              <w:t>has to</w:t>
            </w:r>
            <w:proofErr w:type="gramEnd"/>
            <w:r w:rsidRPr="006331AB">
              <w:rPr>
                <w:b/>
                <w:bCs/>
              </w:rPr>
              <w:t xml:space="preserve"> be true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EC29D74" w14:textId="77777777" w:rsidR="007123F1" w:rsidRPr="006331AB" w:rsidRDefault="007123F1" w:rsidP="00DD4DDA">
            <w:pPr>
              <w:spacing w:after="200"/>
            </w:pPr>
            <w:r w:rsidRPr="006331AB">
              <w:t>Margin structure, non-dilutive to Oura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B1F6AE6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○ Gap.</w:t>
            </w:r>
            <w:r w:rsidRPr="006331AB">
              <w:t xml:space="preserve"> Current decks do not show Oura gross margin / contribution margin under employer subsidy, software, hardware and care-delivery cost assumptions.</w:t>
            </w:r>
          </w:p>
        </w:tc>
      </w:tr>
      <w:tr w:rsidR="007123F1" w:rsidRPr="006331AB" w14:paraId="5E551B46" w14:textId="77777777" w:rsidTr="00DD4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317E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 xml:space="preserve">Enterprise opportunity – </w:t>
            </w:r>
            <w:r w:rsidRPr="006331AB">
              <w:rPr>
                <w:b/>
                <w:bCs/>
              </w:rPr>
              <w:lastRenderedPageBreak/>
              <w:t>Competitive advantage</w:t>
            </w:r>
          </w:p>
        </w:tc>
        <w:tc>
          <w:tcPr>
            <w:tcW w:w="0" w:type="auto"/>
            <w:vAlign w:val="center"/>
            <w:hideMark/>
          </w:tcPr>
          <w:p w14:paraId="0DAB9CFF" w14:textId="77777777" w:rsidR="007123F1" w:rsidRPr="006331AB" w:rsidRDefault="007123F1" w:rsidP="00DD4DDA">
            <w:pPr>
              <w:spacing w:after="200"/>
            </w:pPr>
            <w:r w:rsidRPr="006331AB">
              <w:lastRenderedPageBreak/>
              <w:t xml:space="preserve">Best-in-class engagement </w:t>
            </w:r>
            <w:r w:rsidRPr="006331AB">
              <w:lastRenderedPageBreak/>
              <w:t>drives higher utilization</w:t>
            </w:r>
          </w:p>
        </w:tc>
        <w:tc>
          <w:tcPr>
            <w:tcW w:w="0" w:type="auto"/>
            <w:vAlign w:val="center"/>
            <w:hideMark/>
          </w:tcPr>
          <w:p w14:paraId="0BB29D9C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6331AB">
              <w:rPr>
                <w:b/>
                <w:bCs/>
              </w:rPr>
              <w:t xml:space="preserve"> Directionally covered – Board Deck Slide 7:</w:t>
            </w:r>
            <w:r w:rsidRPr="006331AB">
              <w:t xml:space="preserve"> Oura's daily engagement is explicitly part of the </w:t>
            </w:r>
            <w:r w:rsidRPr="006331AB">
              <w:lastRenderedPageBreak/>
              <w:t xml:space="preserve">right-to-win, including </w:t>
            </w:r>
            <w:r w:rsidRPr="006331AB">
              <w:rPr>
                <w:b/>
                <w:bCs/>
              </w:rPr>
              <w:t>3.5+ app opens/day</w:t>
            </w:r>
            <w:r w:rsidRPr="006331AB">
              <w:t>. The missing piece is a quantified bridge from engagement → activation/utilization lift.</w:t>
            </w:r>
          </w:p>
        </w:tc>
      </w:tr>
      <w:tr w:rsidR="007123F1" w:rsidRPr="006331AB" w14:paraId="04967381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2042FB7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lastRenderedPageBreak/>
              <w:t>Enterprise opportunity – Competitive advantage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5A72671" w14:textId="77777777" w:rsidR="007123F1" w:rsidRPr="006331AB" w:rsidRDefault="007123F1" w:rsidP="00DD4DDA">
            <w:pPr>
              <w:spacing w:after="200"/>
            </w:pPr>
            <w:r w:rsidRPr="006331AB">
              <w:t>Continuous data drives stickier referrals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87AA847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Partial </w:t>
            </w:r>
            <w:r w:rsidRPr="006331AB">
              <w:rPr>
                <w:rFonts w:ascii="Aptos" w:hAnsi="Aptos" w:cs="Aptos"/>
                <w:b/>
                <w:bCs/>
              </w:rPr>
              <w:t>–</w:t>
            </w:r>
            <w:r w:rsidRPr="006331AB">
              <w:rPr>
                <w:b/>
                <w:bCs/>
              </w:rPr>
              <w:t xml:space="preserve"> Board Deck Slides 6</w:t>
            </w:r>
            <w:r w:rsidRPr="006331AB">
              <w:rPr>
                <w:rFonts w:ascii="Aptos" w:hAnsi="Aptos" w:cs="Aptos"/>
                <w:b/>
                <w:bCs/>
              </w:rPr>
              <w:t>–</w:t>
            </w:r>
            <w:r w:rsidRPr="006331AB">
              <w:rPr>
                <w:b/>
                <w:bCs/>
              </w:rPr>
              <w:t>7 and Care Gap Slide 4.</w:t>
            </w:r>
            <w:r w:rsidRPr="006331AB">
              <w:t xml:space="preserve"> Continuous physiology and longitudinal signals are clearly positioned as enabling earlier action; “stickier referrals” specifically is not quantified or proven.</w:t>
            </w:r>
          </w:p>
        </w:tc>
      </w:tr>
      <w:tr w:rsidR="007123F1" w:rsidRPr="006331AB" w14:paraId="602FFEA8" w14:textId="77777777" w:rsidTr="007123F1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AD9C8D3" w14:textId="77777777" w:rsidR="007123F1" w:rsidRPr="006331AB" w:rsidRDefault="007123F1" w:rsidP="00DD4DDA">
            <w:pPr>
              <w:spacing w:after="200"/>
            </w:pPr>
            <w:r w:rsidRPr="006331AB">
              <w:rPr>
                <w:b/>
                <w:bCs/>
              </w:rPr>
              <w:t>Enterprise opportunity – Competitive advantage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FF9F988" w14:textId="77777777" w:rsidR="007123F1" w:rsidRPr="006331AB" w:rsidRDefault="007123F1" w:rsidP="00DD4DDA">
            <w:pPr>
              <w:spacing w:after="200"/>
            </w:pPr>
            <w:r w:rsidRPr="006331AB">
              <w:t>Navigation improves Oura's flywheel / enables cheaper models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3E696B2" w14:textId="77777777" w:rsidR="007123F1" w:rsidRPr="006331AB" w:rsidRDefault="007123F1" w:rsidP="00DD4DDA">
            <w:pPr>
              <w:spacing w:after="200"/>
            </w:pPr>
            <w:r w:rsidRPr="006331AB">
              <w:rPr>
                <w:rFonts w:ascii="Cambria Math" w:hAnsi="Cambria Math" w:cs="Cambria Math"/>
                <w:b/>
                <w:bCs/>
              </w:rPr>
              <w:t>◐</w:t>
            </w:r>
            <w:r w:rsidRPr="006331AB">
              <w:rPr>
                <w:b/>
                <w:bCs/>
              </w:rPr>
              <w:t xml:space="preserve"> Partial </w:t>
            </w:r>
            <w:r w:rsidRPr="006331AB">
              <w:rPr>
                <w:rFonts w:ascii="Aptos" w:hAnsi="Aptos" w:cs="Aptos"/>
                <w:b/>
                <w:bCs/>
              </w:rPr>
              <w:t>–</w:t>
            </w:r>
            <w:r w:rsidRPr="006331AB">
              <w:rPr>
                <w:b/>
                <w:bCs/>
              </w:rPr>
              <w:t xml:space="preserve"> Board Deck Slide 14</w:t>
            </w:r>
            <w:r w:rsidRPr="006331AB">
              <w:t xml:space="preserve"> shows the strategic progression from wellness → employer activation/navigation → broader medical-value spend. The </w:t>
            </w:r>
            <w:r w:rsidRPr="006331AB">
              <w:rPr>
                <w:b/>
                <w:bCs/>
              </w:rPr>
              <w:t>flywheel economics themselves are not explicitly articulated</w:t>
            </w:r>
            <w:r w:rsidRPr="006331AB">
              <w:t>.</w:t>
            </w:r>
          </w:p>
        </w:tc>
      </w:tr>
    </w:tbl>
    <w:p w14:paraId="2C4964A0" w14:textId="77777777" w:rsidR="007123F1" w:rsidRDefault="007123F1" w:rsidP="007123F1">
      <w:pPr>
        <w:spacing w:after="200"/>
      </w:pPr>
    </w:p>
    <w:p w14:paraId="16A60FB1" w14:textId="77777777" w:rsidR="007123F1" w:rsidRDefault="007123F1" w:rsidP="007123F1"/>
    <w:p w14:paraId="2C078E63" w14:textId="77777777" w:rsidR="001473E9" w:rsidRPr="00AB0FF4" w:rsidRDefault="001473E9" w:rsidP="00AB0FF4"/>
    <w:sectPr w:rsidR="001473E9" w:rsidRPr="00AB0FF4" w:rsidSect="007123F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AC40C1"/>
    <w:rsid w:val="0002694D"/>
    <w:rsid w:val="000C4CBA"/>
    <w:rsid w:val="00120CAD"/>
    <w:rsid w:val="001473E9"/>
    <w:rsid w:val="00212789"/>
    <w:rsid w:val="00320308"/>
    <w:rsid w:val="003A4A0E"/>
    <w:rsid w:val="007123F1"/>
    <w:rsid w:val="00764949"/>
    <w:rsid w:val="00774531"/>
    <w:rsid w:val="00854AC5"/>
    <w:rsid w:val="00A62C8D"/>
    <w:rsid w:val="00AB0FF4"/>
    <w:rsid w:val="00B746E3"/>
    <w:rsid w:val="00B96AA6"/>
    <w:rsid w:val="00C058F8"/>
    <w:rsid w:val="00D51B06"/>
    <w:rsid w:val="00EE4359"/>
    <w:rsid w:val="42A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7D7B"/>
  <w15:chartTrackingRefBased/>
  <w15:docId w15:val="{68F59658-A226-4C32-B195-07F07886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BCF5A8CEF8D42897FDB2D1443F212" ma:contentTypeVersion="6" ma:contentTypeDescription="Create a new document." ma:contentTypeScope="" ma:versionID="856c50023d5067740bd5148396b3e7ca">
  <xsd:schema xmlns:xsd="http://www.w3.org/2001/XMLSchema" xmlns:xs="http://www.w3.org/2001/XMLSchema" xmlns:p="http://schemas.microsoft.com/office/2006/metadata/properties" xmlns:ns2="b32e385a-73fd-496e-bd88-497e321bf331" targetNamespace="http://schemas.microsoft.com/office/2006/metadata/properties" ma:root="true" ma:fieldsID="a5f37cf1c2ae579e262b2efc6e7357fb" ns2:_="">
    <xsd:import namespace="b32e385a-73fd-496e-bd88-497e321bf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e385a-73fd-496e-bd88-497e321bf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74CFD5-72FD-4529-942D-F1691B8078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5A56A-BE24-4E1A-A096-32D60516A0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12C469-6713-46FF-BFE9-94229DC2E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e385a-73fd-496e-bd88-497e321bf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Umang, Swati</dc:creator>
  <cp:keywords/>
  <dc:description/>
  <cp:lastModifiedBy>Umang, Swati</cp:lastModifiedBy>
  <cp:revision>12</cp:revision>
  <dcterms:created xsi:type="dcterms:W3CDTF">2026-09-18T11:30:00Z</dcterms:created>
  <dcterms:modified xsi:type="dcterms:W3CDTF">2026-09-18T17:19:00Z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0x010100ED7BCF5A8CEF8D42897FDB2D1443F212</vt:lpwstr>
  </property>
</Properties>
</file>