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11D" w:rsidP="0C58C461" w:rsidRDefault="00F0311D" w14:paraId="2C078E63" w14:textId="65B44D4B">
      <w:pPr>
        <w:jc w:val="center"/>
        <w:rPr>
          <w:b w:val="1"/>
          <w:bCs w:val="1"/>
          <w:sz w:val="32"/>
          <w:szCs w:val="32"/>
        </w:rPr>
      </w:pPr>
      <w:r w:rsidRPr="0C58C461" w:rsidR="51C5BBDD">
        <w:rPr>
          <w:b w:val="1"/>
          <w:bCs w:val="1"/>
          <w:sz w:val="32"/>
          <w:szCs w:val="32"/>
        </w:rPr>
        <w:t xml:space="preserve">Table of </w:t>
      </w:r>
      <w:r w:rsidRPr="0C58C461" w:rsidR="51C5BBDD">
        <w:rPr>
          <w:b w:val="1"/>
          <w:bCs w:val="1"/>
          <w:sz w:val="32"/>
          <w:szCs w:val="32"/>
        </w:rPr>
        <w:t>Contents</w:t>
      </w:r>
      <w:r w:rsidRPr="0C58C461" w:rsidR="51C5BBDD">
        <w:rPr>
          <w:b w:val="1"/>
          <w:bCs w:val="1"/>
          <w:sz w:val="32"/>
          <w:szCs w:val="32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50"/>
        <w:gridCol w:w="6810"/>
      </w:tblGrid>
      <w:tr w:rsidR="0C58C461" w:rsidTr="0C58C461" w14:paraId="637D7728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1222CF5D" w14:textId="08DD4F56">
            <w:pPr>
              <w:spacing w:before="0" w:beforeAutospacing="off" w:after="0" w:afterAutospacing="off"/>
              <w:jc w:val="center"/>
            </w:pPr>
            <w:r w:rsidRPr="0C58C461" w:rsidR="0C58C461">
              <w:rPr>
                <w:b w:val="1"/>
                <w:bCs w:val="1"/>
              </w:rPr>
              <w:t>File Name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18B7C89B" w14:textId="529B5A1F">
            <w:pPr>
              <w:spacing w:before="0" w:beforeAutospacing="off" w:after="0" w:afterAutospacing="off"/>
              <w:jc w:val="center"/>
            </w:pPr>
            <w:r w:rsidRPr="0C58C461" w:rsidR="0C58C461">
              <w:rPr>
                <w:b w:val="1"/>
                <w:bCs w:val="1"/>
              </w:rPr>
              <w:t>What's in the Deck</w:t>
            </w:r>
          </w:p>
        </w:tc>
      </w:tr>
      <w:tr w:rsidR="0C58C461" w:rsidTr="0C58C461" w14:paraId="7CD77C5E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08662AF" w14:textId="54A6E633">
            <w:pPr>
              <w:spacing w:before="0" w:beforeAutospacing="off" w:after="0" w:afterAutospacing="off"/>
            </w:pPr>
            <w:r w:rsidR="0C58C461">
              <w:rPr/>
              <w:t>8.20_Oura_Employer_Archetype_Prioritization__Final.html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2BB4298E" w14:textId="03B077A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employer health ecosystem landscape</w:t>
            </w:r>
          </w:p>
          <w:p w:rsidR="0C58C461" w:rsidP="0C58C461" w:rsidRDefault="0C58C461" w14:paraId="04E9BDB3" w14:textId="38D21EC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business model archetypes (navigation, AI-first virtual care, condition-specific)</w:t>
            </w:r>
          </w:p>
          <w:p w:rsidR="0C58C461" w:rsidP="0C58C461" w:rsidRDefault="0C58C461" w14:paraId="08C3BB14" w14:textId="04BE1E0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offering prioritization within each archetype, attractiveness vs right-to-win matrix</w:t>
            </w:r>
          </w:p>
          <w:p w:rsidR="0C58C461" w:rsidP="0C58C461" w:rsidRDefault="0C58C461" w14:paraId="30F09D42" w14:textId="185DA1F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5-week workplan/next steps</w:t>
            </w:r>
          </w:p>
        </w:tc>
      </w:tr>
      <w:tr w:rsidR="0C58C461" w:rsidTr="0C58C461" w14:paraId="4189DDF1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6FA8D058" w14:textId="20DA2324">
            <w:pPr>
              <w:spacing w:before="0" w:beforeAutospacing="off" w:after="0" w:afterAutospacing="off"/>
            </w:pPr>
            <w:r w:rsidR="0C58C461">
              <w:rPr/>
              <w:t>8.27 Oura_Womens_Health_Deep_Dives_Final.html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0A9B4A9F" w14:textId="0975ADA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women's health market trends</w:t>
            </w:r>
          </w:p>
          <w:p w:rsidR="0C58C461" w:rsidP="0C58C461" w:rsidRDefault="0C58C461" w14:paraId="450246CA" w14:textId="7320169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fertility/pregnancy/menopause competitive landscape</w:t>
            </w:r>
          </w:p>
          <w:p w:rsidR="0C58C461" w:rsidP="0C58C461" w:rsidRDefault="0C58C461" w14:paraId="06C3690D" w14:textId="4023DD67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market sizing</w:t>
            </w:r>
          </w:p>
          <w:p w:rsidR="0C58C461" w:rsidP="0C58C461" w:rsidRDefault="0C58C461" w14:paraId="0C96F177" w14:textId="0DA56BF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right-to-win scoring matrix</w:t>
            </w:r>
          </w:p>
          <w:p w:rsidR="0C58C461" w:rsidP="0C58C461" w:rsidRDefault="0C58C461" w14:paraId="4F1DEF82" w14:textId="031DE5F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business case by offering path</w:t>
            </w:r>
          </w:p>
          <w:p w:rsidR="0C58C461" w:rsidP="0C58C461" w:rsidRDefault="0C58C461" w14:paraId="6B1EEFDA" w14:textId="67753B01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menopause offering (Counsel partnership)</w:t>
            </w:r>
          </w:p>
          <w:p w:rsidR="0C58C461" w:rsidP="0C58C461" w:rsidRDefault="0C58C461" w14:paraId="64889853" w14:textId="0308F90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strategic thesis &amp; cross-condition engagement role</w:t>
            </w:r>
          </w:p>
        </w:tc>
      </w:tr>
      <w:tr w:rsidR="0C58C461" w:rsidTr="0C58C461" w14:paraId="00017464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37FA685" w14:textId="7D24755B">
            <w:pPr>
              <w:spacing w:before="0" w:beforeAutospacing="off" w:after="0" w:afterAutospacing="off"/>
            </w:pPr>
            <w:r w:rsidR="0C58C461">
              <w:rPr/>
              <w:t>8_18_26_Oura_Discussion_Final.html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1075F776" w14:textId="07DBCF8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demand </w:t>
            </w:r>
            <w:r w:rsidR="0C58C461">
              <w:rPr/>
              <w:t>drivers</w:t>
            </w:r>
            <w:r w:rsidR="0C58C461">
              <w:rPr/>
              <w:t xml:space="preserve"> study</w:t>
            </w:r>
          </w:p>
          <w:p w:rsidR="0C58C461" w:rsidP="0C58C461" w:rsidRDefault="0C58C461" w14:paraId="5FE07A2C" w14:textId="5B0FE42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employer ecosystem map</w:t>
            </w:r>
          </w:p>
          <w:p w:rsidR="0C58C461" w:rsidP="0C58C461" w:rsidRDefault="0C58C461" w14:paraId="0F120669" w14:textId="37498D34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competitive business models comparison</w:t>
            </w:r>
          </w:p>
          <w:p w:rsidR="0C58C461" w:rsidP="0C58C461" w:rsidRDefault="0C58C461" w14:paraId="57A81FD4" w14:textId="0B41371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participation gap in wellness programs</w:t>
            </w:r>
          </w:p>
          <w:p w:rsidR="0C58C461" w:rsidP="0C58C461" w:rsidRDefault="0C58C461" w14:paraId="16CAECE3" w14:textId="6C83C0E2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appendix </w:t>
            </w:r>
            <w:r w:rsidR="0C58C461">
              <w:rPr/>
              <w:t>employer</w:t>
            </w:r>
            <w:r w:rsidR="0C58C461">
              <w:rPr/>
              <w:t xml:space="preserve"> spend segments/archetypes</w:t>
            </w:r>
          </w:p>
          <w:p w:rsidR="0C58C461" w:rsidP="0C58C461" w:rsidRDefault="0C58C461" w14:paraId="1DCBE0D4" w14:textId="16AE052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case studies (Fitbit, Omada, Personify)</w:t>
            </w:r>
          </w:p>
        </w:tc>
      </w:tr>
      <w:tr w:rsidR="0C58C461" w:rsidTr="0C58C461" w14:paraId="4613D850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3EE03F42" w14:textId="74280BAD">
            <w:pPr>
              <w:spacing w:before="0" w:beforeAutospacing="off" w:after="0" w:afterAutospacing="off"/>
            </w:pPr>
            <w:r w:rsidR="0C58C461">
              <w:rPr/>
              <w:t>8_24_26_Oura_Health Condition Priortization_vshare.html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26778703" w14:textId="52DA59C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framing/scoping the analysis</w:t>
            </w:r>
          </w:p>
          <w:p w:rsidR="0C58C461" w:rsidP="0C58C461" w:rsidRDefault="0C58C461" w14:paraId="7BDB4A82" w14:textId="12591A8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priority condition hypothesis (sleep, metabolic/GLP-1, women's health, predictive prevention)</w:t>
            </w:r>
          </w:p>
          <w:p w:rsidR="0C58C461" w:rsidP="0C58C461" w:rsidRDefault="0C58C461" w14:paraId="55E05804" w14:textId="7E995A3C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opportunity bubble map</w:t>
            </w:r>
          </w:p>
          <w:p w:rsidR="0C58C461" w:rsidP="0C58C461" w:rsidRDefault="0C58C461" w14:paraId="4330B902" w14:textId="7FDE81B8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condition-by-condition opportunity screen</w:t>
            </w:r>
          </w:p>
          <w:p w:rsidR="0C58C461" w:rsidP="0C58C461" w:rsidRDefault="0C58C461" w14:paraId="6BA6756F" w14:textId="3E207B3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right-to-win scoring, spend anatomy by condition</w:t>
            </w:r>
          </w:p>
        </w:tc>
      </w:tr>
      <w:tr w:rsidR="0C58C461" w:rsidTr="0C58C461" w14:paraId="7862306E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4D837EA" w14:textId="7E4CF3B9">
            <w:pPr>
              <w:spacing w:before="0" w:beforeAutospacing="off" w:after="0" w:afterAutospacing="off"/>
            </w:pPr>
            <w:r w:rsidR="0C58C461">
              <w:rPr/>
              <w:t>8_7_26_Oura_Market Sizing_Preliminary.html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519A1DFC" w14:textId="28973BD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opportunity framing, funnel </w:t>
            </w:r>
            <w:r w:rsidR="0C58C461">
              <w:rPr/>
              <w:t>methodology</w:t>
            </w:r>
          </w:p>
          <w:p w:rsidR="0C58C461" w:rsidP="0C58C461" w:rsidRDefault="0C58C461" w14:paraId="218E190E" w14:textId="136013E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where health &amp; wellness dollars go today</w:t>
            </w:r>
          </w:p>
          <w:p w:rsidR="0C58C461" w:rsidP="0C58C461" w:rsidRDefault="0C58C461" w14:paraId="348F5FB1" w14:textId="5FD82E8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subcategory prioritization/right-to-win screen</w:t>
            </w:r>
          </w:p>
          <w:p w:rsidR="0C58C461" w:rsidP="0C58C461" w:rsidRDefault="0C58C461" w14:paraId="048A22C2" w14:textId="659F6C1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working growth hypotheses</w:t>
            </w:r>
          </w:p>
          <w:p w:rsidR="0C58C461" w:rsidP="0C58C461" w:rsidRDefault="0C58C461" w14:paraId="2099CB3C" w14:textId="63CE1BF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insurance transformation appendix</w:t>
            </w:r>
          </w:p>
        </w:tc>
      </w:tr>
      <w:tr w:rsidR="0C58C461" w:rsidTr="0C58C461" w14:paraId="7A6FB6AE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1A24EA87" w14:textId="5452CC80">
            <w:pPr>
              <w:spacing w:before="0" w:beforeAutospacing="off" w:after="0" w:afterAutospacing="off"/>
            </w:pPr>
            <w:r w:rsidR="0C58C461">
              <w:rPr/>
              <w:t>8_7_26_Oura_deck_8.html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0FC8F3E0" w14:textId="5CA3E7BF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opportunity framing</w:t>
            </w:r>
          </w:p>
          <w:p w:rsidR="0C58C461" w:rsidP="0C58C461" w:rsidRDefault="0C58C461" w14:paraId="0473F5F5" w14:textId="3D9956C8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funnel </w:t>
            </w:r>
            <w:r w:rsidR="0C58C461">
              <w:rPr/>
              <w:t>methodology</w:t>
            </w:r>
          </w:p>
          <w:p w:rsidR="0C58C461" w:rsidP="0C58C461" w:rsidRDefault="0C58C461" w14:paraId="6F491B58" w14:textId="5342BB3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subcategory right-to-win screen</w:t>
            </w:r>
          </w:p>
          <w:p w:rsidR="0C58C461" w:rsidP="0C58C461" w:rsidRDefault="0C58C461" w14:paraId="4F5A27A7" w14:textId="3F6AAB11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growth hypotheses &amp; next horizon</w:t>
            </w:r>
          </w:p>
          <w:p w:rsidR="0C58C461" w:rsidP="0C58C461" w:rsidRDefault="0C58C461" w14:paraId="554DF92E" w14:textId="648176D4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customer share-of-wallet</w:t>
            </w:r>
          </w:p>
          <w:p w:rsidR="0C58C461" w:rsidP="0C58C461" w:rsidRDefault="0C58C461" w14:paraId="7B8C733A" w14:textId="211BD1DA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value pool taxonomy</w:t>
            </w:r>
          </w:p>
          <w:p w:rsidR="0C58C461" w:rsidP="0C58C461" w:rsidRDefault="0C58C461" w14:paraId="0855B3B2" w14:textId="252EF36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interactive market-sizing model</w:t>
            </w:r>
          </w:p>
        </w:tc>
      </w:tr>
      <w:tr w:rsidR="0C58C461" w:rsidTr="0C58C461" w14:paraId="39036244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35800E9" w14:textId="36CCCBD2">
            <w:pPr>
              <w:spacing w:before="0" w:beforeAutospacing="off" w:after="0" w:afterAutospacing="off"/>
            </w:pPr>
            <w:r w:rsidR="0C58C461">
              <w:rPr/>
              <w:t>9.06 Oura Employer Strategy.html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2BFB3DC1" w14:textId="25611C97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employer health strategy thesis</w:t>
            </w:r>
          </w:p>
          <w:p w:rsidR="0C58C461" w:rsidP="0C58C461" w:rsidRDefault="0C58C461" w14:paraId="645BFA4A" w14:textId="4D4F7CF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market context/time-to-value by segment</w:t>
            </w:r>
          </w:p>
          <w:p w:rsidR="0C58C461" w:rsidP="0C58C461" w:rsidRDefault="0C58C461" w14:paraId="24F67751" w14:textId="02B3E021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capabilities map across pathways</w:t>
            </w:r>
          </w:p>
          <w:p w:rsidR="0C58C461" w:rsidP="0C58C461" w:rsidRDefault="0C58C461" w14:paraId="5B7E3331" w14:textId="627669F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$3-5B market sizing across six conditions</w:t>
            </w:r>
          </w:p>
          <w:p w:rsidR="0C58C461" w:rsidP="0C58C461" w:rsidRDefault="0C58C461" w14:paraId="24DC2DDC" w14:textId="6BC54305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engagement-to-revenue model</w:t>
            </w:r>
          </w:p>
          <w:p w:rsidR="0C58C461" w:rsidP="0C58C461" w:rsidRDefault="0C58C461" w14:paraId="3789BBEB" w14:textId="5CC2FD8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3-year growth trajectory</w:t>
            </w:r>
          </w:p>
          <w:p w:rsidR="0C58C461" w:rsidP="0C58C461" w:rsidRDefault="0C58C461" w14:paraId="60CFA9EF" w14:textId="4DB929D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Counsel partner economics</w:t>
            </w:r>
          </w:p>
        </w:tc>
      </w:tr>
      <w:tr w:rsidR="0C58C461" w:rsidTr="0C58C461" w14:paraId="59967B24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70DF55F1" w14:textId="69F5D6E5">
            <w:pPr>
              <w:spacing w:before="0" w:beforeAutospacing="off" w:after="0" w:afterAutospacing="off"/>
            </w:pPr>
            <w:r w:rsidR="0C58C461">
              <w:rPr/>
              <w:t>9.08 Oura Employer Strategy_with extra slides.html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46D123AA" w14:textId="46E67198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cost-curve/movable-middle framing</w:t>
            </w:r>
          </w:p>
          <w:p w:rsidR="0C58C461" w:rsidP="0C58C461" w:rsidRDefault="0C58C461" w14:paraId="39551310" w14:textId="51B50287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two-layer offering architecture</w:t>
            </w:r>
          </w:p>
          <w:p w:rsidR="0C58C461" w:rsidP="0C58C461" w:rsidRDefault="0C58C461" w14:paraId="4A66D82C" w14:textId="6DD0754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expanded navigation &amp; chronic-care market sizing</w:t>
            </w:r>
          </w:p>
          <w:p w:rsidR="0C58C461" w:rsidP="0C58C461" w:rsidRDefault="0C58C461" w14:paraId="44560B34" w14:textId="662C322E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care navigation/chronic-care deep dives</w:t>
            </w:r>
          </w:p>
          <w:p w:rsidR="0C58C461" w:rsidP="0C58C461" w:rsidRDefault="0C58C461" w14:paraId="20EE8B5B" w14:textId="7FB93DF1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10,000-employee deal model</w:t>
            </w:r>
          </w:p>
          <w:p w:rsidR="0C58C461" w:rsidP="0C58C461" w:rsidRDefault="0C58C461" w14:paraId="26802B38" w14:textId="177BB44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movable-middle revenue sizing ($544M)</w:t>
            </w:r>
          </w:p>
          <w:p w:rsidR="0C58C461" w:rsidP="0C58C461" w:rsidRDefault="0C58C461" w14:paraId="785120D0" w14:textId="352FCF4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growth trajectory</w:t>
            </w:r>
          </w:p>
        </w:tc>
      </w:tr>
      <w:tr w:rsidR="0C58C461" w:rsidTr="0C58C461" w14:paraId="3E84BA30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2E4B2A6F" w14:textId="3BE8209A">
            <w:pPr>
              <w:spacing w:before="0" w:beforeAutospacing="off" w:after="0" w:afterAutospacing="off"/>
            </w:pPr>
            <w:r w:rsidR="0C58C461">
              <w:rPr/>
              <w:t>9.10 Oura Employer Strategy4.html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63BA0089" w14:textId="43FE67ED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cost-curve/movable-middle framing</w:t>
            </w:r>
          </w:p>
          <w:p w:rsidR="0C58C461" w:rsidP="0C58C461" w:rsidRDefault="0C58C461" w14:paraId="61FF83D0" w14:textId="40BCF3E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offering architecture</w:t>
            </w:r>
          </w:p>
          <w:p w:rsidR="0C58C461" w:rsidP="0C58C461" w:rsidRDefault="0C58C461" w14:paraId="15AD2458" w14:textId="421F790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market expansion sizing</w:t>
            </w:r>
          </w:p>
          <w:p w:rsidR="0C58C461" w:rsidP="0C58C461" w:rsidRDefault="0C58C461" w14:paraId="5D973FF0" w14:textId="6991FB9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population bridge (103M to ring-eligible)</w:t>
            </w:r>
          </w:p>
          <w:p w:rsidR="0C58C461" w:rsidP="0C58C461" w:rsidRDefault="0C58C461" w14:paraId="2C045CC1" w14:textId="641AD831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value levers</w:t>
            </w:r>
          </w:p>
          <w:p w:rsidR="0C58C461" w:rsidP="0C58C461" w:rsidRDefault="0C58C461" w14:paraId="1E1B6D55" w14:textId="3D1A416F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sleep apnea value-capture/business case</w:t>
            </w:r>
          </w:p>
          <w:p w:rsidR="0C58C461" w:rsidP="0C58C461" w:rsidRDefault="0C58C461" w14:paraId="0F10C2DE" w14:textId="2FE7CB5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market segment deep dives</w:t>
            </w:r>
          </w:p>
        </w:tc>
      </w:tr>
      <w:tr w:rsidR="0C58C461" w:rsidTr="0C58C461" w14:paraId="57B4ADFC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5F0C3159" w14:textId="4ECE98FA">
            <w:pPr>
              <w:spacing w:before="0" w:beforeAutospacing="off" w:after="0" w:afterAutospacing="off"/>
            </w:pPr>
            <w:r w:rsidR="0C58C461">
              <w:rPr/>
              <w:t>9.11_Oura_Employer_Strategy_1.html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7D7F9B04" w14:textId="2000FE59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$500M employer business math</w:t>
            </w:r>
          </w:p>
          <w:p w:rsidR="0C58C461" w:rsidP="0C58C461" w:rsidRDefault="0C58C461" w14:paraId="5985645D" w14:textId="2C04716F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spend concentration by cost tier</w:t>
            </w:r>
          </w:p>
          <w:p w:rsidR="0C58C461" w:rsidP="0C58C461" w:rsidRDefault="0C58C461" w14:paraId="43ED4595" w14:textId="71975D0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care navigation vs condition management ROI levers</w:t>
            </w:r>
          </w:p>
          <w:p w:rsidR="0C58C461" w:rsidP="0C58C461" w:rsidRDefault="0C58C461" w14:paraId="22214E4D" w14:textId="48533B2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seven opportunity areas ($1,060/employee)</w:t>
            </w:r>
          </w:p>
          <w:p w:rsidR="0C58C461" w:rsidP="0C58C461" w:rsidRDefault="0C58C461" w14:paraId="0AF1371B" w14:textId="0EF3930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hypertension case study</w:t>
            </w:r>
          </w:p>
          <w:p w:rsidR="0C58C461" w:rsidP="0C58C461" w:rsidRDefault="0C58C461" w14:paraId="0797E77D" w14:textId="03C6D2D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sleep apnea proof-of-concept economics</w:t>
            </w:r>
          </w:p>
        </w:tc>
      </w:tr>
      <w:tr w:rsidR="0C58C461" w:rsidTr="0C58C461" w14:paraId="70FECC5F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5AFA54BF" w14:textId="0F093E46">
            <w:pPr>
              <w:spacing w:before="0" w:beforeAutospacing="off" w:after="0" w:afterAutospacing="off"/>
            </w:pPr>
            <w:r w:rsidR="0C58C461">
              <w:rPr/>
              <w:t>9_02_Oura_Employer_Health_Strategy_vshare.html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6CF5BC6A" w14:textId="17C392D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employer health </w:t>
            </w:r>
            <w:r w:rsidR="0C58C461">
              <w:rPr/>
              <w:t>spend</w:t>
            </w:r>
            <w:r w:rsidR="0C58C461">
              <w:rPr/>
              <w:t xml:space="preserve"> vs. engagement gap framing</w:t>
            </w:r>
          </w:p>
          <w:p w:rsidR="0C58C461" w:rsidP="0C58C461" w:rsidRDefault="0C58C461" w14:paraId="0A587EC3" w14:textId="4D96ADD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Oura as engagement/activation layer thesis</w:t>
            </w:r>
          </w:p>
          <w:p w:rsidR="0C58C461" w:rsidP="0C58C461" w:rsidRDefault="0C58C461" w14:paraId="55702B79" w14:textId="7D4DF0A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care-gap closure for high-cost members</w:t>
            </w:r>
          </w:p>
          <w:p w:rsidR="0C58C461" w:rsidP="0C58C461" w:rsidRDefault="0C58C461" w14:paraId="06145D72" w14:textId="53D2296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priority conditions/target segments</w:t>
            </w:r>
          </w:p>
          <w:p w:rsidR="0C58C461" w:rsidP="0C58C461" w:rsidRDefault="0C58C461" w14:paraId="6B444FE0" w14:textId="4DD906A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adherence evidence appendix</w:t>
            </w:r>
          </w:p>
          <w:p w:rsidR="0C58C461" w:rsidP="0C58C461" w:rsidRDefault="0C58C461" w14:paraId="59621F7A" w14:textId="2342AC2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TAM bubbles by spend category</w:t>
            </w:r>
          </w:p>
        </w:tc>
      </w:tr>
      <w:tr w:rsidR="0C58C461" w:rsidTr="0C58C461" w14:paraId="17249E7F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E53136E" w14:textId="04F21EAC">
            <w:pPr>
              <w:spacing w:before="0" w:beforeAutospacing="off" w:after="0" w:afterAutospacing="off"/>
            </w:pPr>
            <w:r w:rsidR="0C58C461">
              <w:rPr/>
              <w:t>9_17_Draft_Oura_Board_Deck_4.html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60D85218" w14:textId="4F529BD6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board cover/TOC, $500M-in-3-years revenue math</w:t>
            </w:r>
          </w:p>
          <w:p w:rsidR="0C58C461" w:rsidP="0C58C461" w:rsidRDefault="0C58C461" w14:paraId="1E233052" w14:textId="44DBACA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ROI proof requirement (2-3x savings)</w:t>
            </w:r>
          </w:p>
          <w:p w:rsidR="0C58C461" w:rsidP="0C58C461" w:rsidRDefault="0C58C461" w14:paraId="0788B70C" w14:textId="2B7B850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"</w:t>
            </w:r>
            <w:r w:rsidR="0C58C461">
              <w:rPr/>
              <w:t>movable</w:t>
            </w:r>
            <w:r w:rsidR="0C58C461">
              <w:rPr/>
              <w:t xml:space="preserve"> middle" opportunity</w:t>
            </w:r>
          </w:p>
          <w:p w:rsidR="0C58C461" w:rsidP="0C58C461" w:rsidRDefault="0C58C461" w14:paraId="59F644CF" w14:textId="77FAFEF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care-gap narrative vignettes</w:t>
            </w:r>
          </w:p>
          <w:p w:rsidR="0C58C461" w:rsidP="0C58C461" w:rsidRDefault="0C58C461" w14:paraId="1E9010B1" w14:textId="3693074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$68M business case, three priority conditions</w:t>
            </w:r>
          </w:p>
          <w:p w:rsidR="0C58C461" w:rsidP="0C58C461" w:rsidRDefault="0C58C461" w14:paraId="74D90D93" w14:textId="749881E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next-steps</w:t>
            </w:r>
            <w:r w:rsidR="0C58C461">
              <w:rPr/>
              <w:t xml:space="preserve"> with headwinds/tailwinds</w:t>
            </w:r>
          </w:p>
        </w:tc>
      </w:tr>
      <w:tr w:rsidR="0C58C461" w:rsidTr="0C58C461" w14:paraId="77BFD26C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19FFB964" w14:textId="0B910E40">
            <w:pPr>
              <w:spacing w:before="0" w:beforeAutospacing="off" w:after="0" w:afterAutospacing="off"/>
            </w:pPr>
            <w:r w:rsidR="0C58C461">
              <w:rPr/>
              <w:t>Draft_HTML_8_11_vshare_1.html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321B8A08" w14:textId="7A8EAA4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strategic prioritization of addressable markets</w:t>
            </w:r>
          </w:p>
          <w:p w:rsidR="0C58C461" w:rsidP="0C58C461" w:rsidRDefault="0C58C461" w14:paraId="5386F304" w14:textId="71FE9A3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three-horizon framework (DTC wedge, employer-funded benefit, insurer/outcomes model)</w:t>
            </w:r>
          </w:p>
          <w:p w:rsidR="0C58C461" w:rsidP="0C58C461" w:rsidRDefault="0C58C461" w14:paraId="094725E1" w14:textId="4664DCD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consumer wellness vs insurance-spend TAM bubbles</w:t>
            </w:r>
          </w:p>
          <w:p w:rsidR="0C58C461" w:rsidP="0C58C461" w:rsidRDefault="0C58C461" w14:paraId="44BABB05" w14:textId="281C94E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horizon deep dives</w:t>
            </w:r>
          </w:p>
          <w:p w:rsidR="0C58C461" w:rsidP="0C58C461" w:rsidRDefault="0C58C461" w14:paraId="223A72B1" w14:textId="7BB178C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interactive market-sizing tool</w:t>
            </w:r>
          </w:p>
        </w:tc>
      </w:tr>
      <w:tr w:rsidR="0C58C461" w:rsidTr="0C58C461" w14:paraId="21710791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5B9CAC12" w14:textId="52A9255E">
            <w:pPr>
              <w:spacing w:before="0" w:beforeAutospacing="off" w:after="0" w:afterAutospacing="off"/>
            </w:pPr>
            <w:r w:rsidR="0C58C461">
              <w:rPr/>
              <w:t>Oura_Employer_Strategy_Board_Deck 915.html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6C368140" w14:textId="231AE39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executive summary &amp; $500M opportunity sizing</w:t>
            </w:r>
          </w:p>
          <w:p w:rsidR="0C58C461" w:rsidP="0C58C461" w:rsidRDefault="0C58C461" w14:paraId="12AF21EC" w14:textId="5D4D4A6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care/adherence gap data</w:t>
            </w:r>
          </w:p>
          <w:p w:rsidR="0C58C461" w:rsidP="0C58C461" w:rsidRDefault="0C58C461" w14:paraId="55FBDE3B" w14:textId="457FDA9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movable-middle segmentation</w:t>
            </w:r>
          </w:p>
          <w:p w:rsidR="0C58C461" w:rsidP="0C58C461" w:rsidRDefault="0C58C461" w14:paraId="5E987165" w14:textId="12901217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priority conditions (hypertension, sleep apnea, GLP-1)</w:t>
            </w:r>
          </w:p>
          <w:p w:rsidR="0C58C461" w:rsidP="0C58C461" w:rsidRDefault="0C58C461" w14:paraId="7FB154C3" w14:textId="036DD64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ROI/business case model</w:t>
            </w:r>
          </w:p>
          <w:p w:rsidR="0C58C461" w:rsidP="0C58C461" w:rsidRDefault="0C58C461" w14:paraId="46602A2F" w14:textId="79CD6E9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capability gaps &amp; strategic path</w:t>
            </w:r>
          </w:p>
        </w:tc>
      </w:tr>
      <w:tr w:rsidR="0C58C461" w:rsidTr="0C58C461" w14:paraId="2FA2BB93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6F1E90D6" w14:textId="10884B69">
            <w:pPr>
              <w:spacing w:before="0" w:beforeAutospacing="off" w:after="0" w:afterAutospacing="off"/>
            </w:pPr>
            <w:r w:rsidR="0C58C461">
              <w:rPr/>
              <w:t>Oura_Employer_Wedge_Prioritization__4__16.html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41CD8FA7" w14:textId="70D1F4AB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employer health ecosystem landscape</w:t>
            </w:r>
          </w:p>
          <w:p w:rsidR="0C58C461" w:rsidP="0C58C461" w:rsidRDefault="0C58C461" w14:paraId="18209318" w14:textId="4B65A982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business model archetypes comparison</w:t>
            </w:r>
          </w:p>
          <w:p w:rsidR="0C58C461" w:rsidP="0C58C461" w:rsidRDefault="0C58C461" w14:paraId="51118C0C" w14:textId="23BB186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12-offering portfolio catalog</w:t>
            </w:r>
          </w:p>
          <w:p w:rsidR="0C58C461" w:rsidP="0C58C461" w:rsidRDefault="0C58C461" w14:paraId="3FCF6C11" w14:textId="70D076B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attractiveness-vs-right-to-win matrix</w:t>
            </w:r>
          </w:p>
          <w:p w:rsidR="0C58C461" w:rsidP="0C58C461" w:rsidRDefault="0C58C461" w14:paraId="2825E11A" w14:textId="7A5A3301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5-week workplan</w:t>
            </w:r>
          </w:p>
          <w:p w:rsidR="0C58C461" w:rsidP="0C58C461" w:rsidRDefault="0C58C461" w14:paraId="5E8C7956" w14:textId="218A6AD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disease deep-dive appendix (spend/prevalence/proximity)</w:t>
            </w:r>
          </w:p>
        </w:tc>
      </w:tr>
      <w:tr w:rsidR="0C58C461" w:rsidTr="0C58C461" w14:paraId="46490F8E">
        <w:trPr>
          <w:trHeight w:val="300"/>
        </w:trPr>
        <w:tc>
          <w:tcPr>
            <w:tcW w:w="2550" w:type="dxa"/>
            <w:tcMar/>
            <w:vAlign w:val="center"/>
          </w:tcPr>
          <w:p w:rsidR="0C58C461" w:rsidP="0C58C461" w:rsidRDefault="0C58C461" w14:paraId="4160ACAE" w14:textId="33B45EAC">
            <w:pPr>
              <w:spacing w:before="0" w:beforeAutospacing="off" w:after="0" w:afterAutospacing="off"/>
            </w:pPr>
            <w:r w:rsidR="0C58C461">
              <w:rPr/>
              <w:t>Oura_Kickoff_Final Version.html</w:t>
            </w:r>
          </w:p>
        </w:tc>
        <w:tc>
          <w:tcPr>
            <w:tcW w:w="6810" w:type="dxa"/>
            <w:tcMar/>
            <w:vAlign w:val="center"/>
          </w:tcPr>
          <w:p w:rsidR="0C58C461" w:rsidP="0C58C461" w:rsidRDefault="0C58C461" w14:paraId="5A2A7F94" w14:textId="43C8AAE5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kickoff agenda &amp; team intros</w:t>
            </w:r>
          </w:p>
          <w:p w:rsidR="0C58C461" w:rsidP="0C58C461" w:rsidRDefault="0C58C461" w14:paraId="7E1A0698" w14:textId="453FBF9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 xml:space="preserve">project </w:t>
            </w:r>
            <w:r w:rsidR="0C58C461">
              <w:rPr/>
              <w:t>objectives</w:t>
            </w:r>
            <w:r w:rsidR="0C58C461">
              <w:rPr/>
              <w:t xml:space="preserve"> (market sizing + employer platform strategy)</w:t>
            </w:r>
          </w:p>
          <w:p w:rsidR="0C58C461" w:rsidP="0C58C461" w:rsidRDefault="0C58C461" w14:paraId="2D469648" w14:textId="46B946B8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8-week approach/</w:t>
            </w:r>
            <w:r w:rsidR="0C58C461">
              <w:rPr/>
              <w:t>methodology</w:t>
            </w:r>
          </w:p>
          <w:p w:rsidR="0C58C461" w:rsidP="0C58C461" w:rsidRDefault="0C58C461" w14:paraId="1A626141" w14:textId="5C856FC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market sizing tables &amp; share-of-wallet projections</w:t>
            </w:r>
          </w:p>
          <w:p w:rsidR="0C58C461" w:rsidP="0C58C461" w:rsidRDefault="0C58C461" w14:paraId="271793A7" w14:textId="796D517A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competitive landscape</w:t>
            </w:r>
          </w:p>
          <w:p w:rsidR="39AA1C73" w:rsidP="0C58C461" w:rsidRDefault="39AA1C73" w14:paraId="38BF93A9" w14:textId="70C78BE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39AA1C73">
              <w:rPr/>
              <w:t>Timeline/deliverables</w:t>
            </w:r>
          </w:p>
          <w:p w:rsidR="0C58C461" w:rsidP="0C58C461" w:rsidRDefault="0C58C461" w14:paraId="69D96D4C" w14:textId="59F7319E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0C58C461">
              <w:rPr/>
              <w:t>data requests</w:t>
            </w:r>
          </w:p>
        </w:tc>
      </w:tr>
    </w:tbl>
    <w:sectPr w:rsidR="00F031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ed3f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eff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b58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b20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03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E644D7"/>
    <w:rsid w:val="00D10295"/>
    <w:rsid w:val="00F0311D"/>
    <w:rsid w:val="0424220C"/>
    <w:rsid w:val="0744D203"/>
    <w:rsid w:val="0C58C461"/>
    <w:rsid w:val="1ABF5641"/>
    <w:rsid w:val="1D4927A0"/>
    <w:rsid w:val="1DD4AD70"/>
    <w:rsid w:val="1DD4AD70"/>
    <w:rsid w:val="2198B75F"/>
    <w:rsid w:val="2D0DB885"/>
    <w:rsid w:val="39AA1C73"/>
    <w:rsid w:val="46AAD86A"/>
    <w:rsid w:val="472889BF"/>
    <w:rsid w:val="4DE644D7"/>
    <w:rsid w:val="4E9DA24E"/>
    <w:rsid w:val="4E9DA24E"/>
    <w:rsid w:val="51C5BBDD"/>
    <w:rsid w:val="6C0E5AF2"/>
    <w:rsid w:val="6C0E5AF2"/>
    <w:rsid w:val="6EFB1422"/>
    <w:rsid w:val="701B1393"/>
    <w:rsid w:val="70AE133B"/>
    <w:rsid w:val="74962767"/>
    <w:rsid w:val="760FA1D7"/>
    <w:rsid w:val="76D2F4EC"/>
    <w:rsid w:val="7EA470BE"/>
    <w:rsid w:val="7EA4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C22E"/>
  <w15:chartTrackingRefBased/>
  <w15:docId w15:val="{288D7EA4-9742-408A-8334-1600C2E4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58C46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73cd30d5b50144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BCF5A8CEF8D42897FDB2D1443F212" ma:contentTypeVersion="6" ma:contentTypeDescription="Create a new document." ma:contentTypeScope="" ma:versionID="856c50023d5067740bd5148396b3e7ca">
  <xsd:schema xmlns:xsd="http://www.w3.org/2001/XMLSchema" xmlns:xs="http://www.w3.org/2001/XMLSchema" xmlns:p="http://schemas.microsoft.com/office/2006/metadata/properties" xmlns:ns2="b32e385a-73fd-496e-bd88-497e321bf331" targetNamespace="http://schemas.microsoft.com/office/2006/metadata/properties" ma:root="true" ma:fieldsID="a5f37cf1c2ae579e262b2efc6e7357fb" ns2:_="">
    <xsd:import namespace="b32e385a-73fd-496e-bd88-497e321bf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e385a-73fd-496e-bd88-497e321bf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916F80-40D3-40A6-BC40-AEFFDDAAC9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B7F146-21B8-4790-9C93-BBD215E99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e385a-73fd-496e-bd88-497e321bf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AC2384-6CD5-4DD8-90F9-198DAA29913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Umang, Swati</dc:creator>
  <keywords/>
  <dc:description/>
  <lastModifiedBy>Umang, Swati</lastModifiedBy>
  <revision>2</revision>
  <dcterms:created xsi:type="dcterms:W3CDTF">2026-09-18T11:20:00.0000000Z</dcterms:created>
  <dcterms:modified xsi:type="dcterms:W3CDTF">2026-09-18T11:29:14.0808698Z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0x010100ED7BCF5A8CEF8D42897FDB2D1443F212</vt:lpwstr>
  </property>
</Properties>
</file>