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84"/>
        <w:jc w:val="center"/>
      </w:pPr>
      <w:r>
        <w:rPr>
          <w:rFonts w:ascii="Aptos Display" w:hAnsi="Aptos Display"/>
          <w:b/>
          <w:sz w:val="48"/>
        </w:rPr>
        <w:t>VaaniQ</w:t>
        <w:br/>
        <w:t>Mid-Term Capstone Progress Report</w:t>
      </w:r>
    </w:p>
    <w:p>
      <w:pPr>
        <w:jc w:val="center"/>
      </w:pPr>
      <w:r>
        <w:rPr>
          <w:i/>
        </w:rPr>
        <w:t>Cross-Lingual, Compression-Robust Detection and Calibrated Reliability Estimation for AI-Generated Voice in Indian Languages</w:t>
      </w:r>
    </w:p>
    <w:p>
      <w:pPr>
        <w:jc w:val="center"/>
      </w:pPr>
      <w:r>
        <w:br/>
        <w:t>Gaurav Phadale  70022300092</w:t>
        <w:br/>
        <w:t>Eshaan Sarkhawas  70022300066</w:t>
        <w:br/>
        <w:t>Aarav Phutane  70022300152</w:t>
        <w:br/>
        <w:t>Prajwal Patil  70022300213</w:t>
        <w:br/>
        <w:br/>
        <w:t>Faculty Guide: Prof. Rama Bharti Varshney</w:t>
        <w:br/>
        <w:t>MPSTME, NMIMS  Academic Year 2026-27</w:t>
      </w:r>
    </w:p>
    <w:p>
      <w:r>
        <w:br w:type="page"/>
      </w:r>
    </w:p>
    <w:p>
      <w:pPr>
        <w:pStyle w:val="Heading1"/>
      </w:pPr>
      <w:r>
        <w:t>1. Executive Progress Summary</w:t>
      </w:r>
    </w:p>
    <w:p>
      <w:pPr>
        <w:spacing w:after="40" w:line="240" w:lineRule="auto"/>
        <w:ind w:firstLine="230"/>
        <w:jc w:val="both"/>
      </w:pPr>
      <w:r>
        <w:t>VaaniQ is operational as an end-to-end research system: authenticated Kathbath and IndicSynth ingest, deterministic speaker-disjoint splitting, actual Opus evaluation pairs, detector training, validation-only calibration, explainability, typed FastAPI endpoints, and a React demonstration interface. This report separates completed measured evidence from remaining work.</w:t>
      </w:r>
    </w:p>
    <w:p>
      <w:pPr>
        <w:jc w:val="center"/>
      </w:pPr>
      <w:r>
        <w:rPr>
          <w:b/>
          <w:sz w:val="16"/>
        </w:rPr>
        <w:t>TABLE 1. MID-TERM EVIDENCE SNAPSHOT</w:t>
      </w:r>
    </w:p>
    <w:tbl>
      <w:tblPr>
        <w:tblStyle w:val="TableGrid"/>
        <w:tblW w:type="auto" w:w="0"/>
        <w:tblLook w:firstColumn="1" w:firstRow="1" w:lastColumn="0" w:lastRow="0" w:noHBand="0" w:noVBand="1" w:val="04A0"/>
      </w:tblPr>
      <w:tblGrid>
        <w:gridCol w:w="4874"/>
        <w:gridCol w:w="4874"/>
      </w:tblGrid>
      <w:tr>
        <w:tc>
          <w:tcPr>
            <w:tcW w:type="dxa" w:w="4874"/>
          </w:tcPr>
          <w:p>
            <w:pPr>
              <w:spacing w:after="0"/>
            </w:pPr>
            <w:r>
              <w:rPr>
                <w:rFonts w:ascii="Times New Roman" w:hAnsi="Times New Roman"/>
                <w:b/>
                <w:sz w:val="15"/>
              </w:rPr>
              <w:t>Evidence item</w:t>
            </w:r>
          </w:p>
        </w:tc>
        <w:tc>
          <w:tcPr>
            <w:tcW w:type="dxa" w:w="4874"/>
          </w:tcPr>
          <w:p>
            <w:pPr>
              <w:spacing w:after="0"/>
            </w:pPr>
            <w:r>
              <w:rPr>
                <w:rFonts w:ascii="Times New Roman" w:hAnsi="Times New Roman"/>
                <w:b/>
                <w:sz w:val="15"/>
              </w:rPr>
              <w:t>Current measured state</w:t>
            </w:r>
          </w:p>
        </w:tc>
      </w:tr>
      <w:tr>
        <w:tc>
          <w:tcPr>
            <w:tcW w:type="dxa" w:w="4874"/>
          </w:tcPr>
          <w:p>
            <w:pPr>
              <w:spacing w:after="0"/>
            </w:pPr>
            <w:r>
              <w:rPr>
                <w:rFonts w:ascii="Times New Roman" w:hAnsi="Times New Roman"/>
                <w:b w:val="0"/>
                <w:sz w:val="15"/>
              </w:rPr>
              <w:t>Source corpus</w:t>
            </w:r>
          </w:p>
        </w:tc>
        <w:tc>
          <w:tcPr>
            <w:tcW w:type="dxa" w:w="4874"/>
          </w:tcPr>
          <w:p>
            <w:pPr>
              <w:spacing w:after="0"/>
            </w:pPr>
            <w:r>
              <w:rPr>
                <w:rFonts w:ascii="Times New Roman" w:hAnsi="Times New Roman"/>
                <w:b w:val="0"/>
                <w:sz w:val="15"/>
              </w:rPr>
              <w:t>1800 original clips; 3.15 h</w:t>
            </w:r>
          </w:p>
        </w:tc>
      </w:tr>
      <w:tr>
        <w:tc>
          <w:tcPr>
            <w:tcW w:type="dxa" w:w="4874"/>
          </w:tcPr>
          <w:p>
            <w:pPr>
              <w:spacing w:after="0"/>
            </w:pPr>
            <w:r>
              <w:rPr>
                <w:rFonts w:ascii="Times New Roman" w:hAnsi="Times New Roman"/>
                <w:b w:val="0"/>
                <w:sz w:val="15"/>
              </w:rPr>
              <w:t>Evaluation corpus</w:t>
            </w:r>
          </w:p>
        </w:tc>
        <w:tc>
          <w:tcPr>
            <w:tcW w:type="dxa" w:w="4874"/>
          </w:tcPr>
          <w:p>
            <w:pPr>
              <w:spacing w:after="0"/>
            </w:pPr>
            <w:r>
              <w:rPr>
                <w:rFonts w:ascii="Times New Roman" w:hAnsi="Times New Roman"/>
                <w:b w:val="0"/>
                <w:sz w:val="15"/>
              </w:rPr>
              <w:t>2346 clean/Opus instances; 4.11 h</w:t>
            </w:r>
          </w:p>
        </w:tc>
      </w:tr>
      <w:tr>
        <w:tc>
          <w:tcPr>
            <w:tcW w:type="dxa" w:w="4874"/>
          </w:tcPr>
          <w:p>
            <w:pPr>
              <w:spacing w:after="0"/>
            </w:pPr>
            <w:r>
              <w:rPr>
                <w:rFonts w:ascii="Times New Roman" w:hAnsi="Times New Roman"/>
                <w:b w:val="0"/>
                <w:sz w:val="15"/>
              </w:rPr>
              <w:t>Held-out test</w:t>
            </w:r>
          </w:p>
        </w:tc>
        <w:tc>
          <w:tcPr>
            <w:tcW w:type="dxa" w:w="4874"/>
          </w:tcPr>
          <w:p>
            <w:pPr>
              <w:spacing w:after="0"/>
            </w:pPr>
            <w:r>
              <w:rPr>
                <w:rFonts w:ascii="Times New Roman" w:hAnsi="Times New Roman"/>
                <w:b w:val="0"/>
                <w:sz w:val="15"/>
              </w:rPr>
              <w:t>n=584; accuracy 91.6%; EER 6.6%</w:t>
            </w:r>
          </w:p>
        </w:tc>
      </w:tr>
      <w:tr>
        <w:tc>
          <w:tcPr>
            <w:tcW w:type="dxa" w:w="4874"/>
          </w:tcPr>
          <w:p>
            <w:pPr>
              <w:spacing w:after="0"/>
            </w:pPr>
            <w:r>
              <w:rPr>
                <w:rFonts w:ascii="Times New Roman" w:hAnsi="Times New Roman"/>
                <w:b w:val="0"/>
                <w:sz w:val="15"/>
              </w:rPr>
              <w:t>Leakage control</w:t>
            </w:r>
          </w:p>
        </w:tc>
        <w:tc>
          <w:tcPr>
            <w:tcW w:type="dxa" w:w="4874"/>
          </w:tcPr>
          <w:p>
            <w:pPr>
              <w:spacing w:after="0"/>
            </w:pPr>
            <w:r>
              <w:rPr>
                <w:rFonts w:ascii="Times New Roman" w:hAnsi="Times New Roman"/>
                <w:b w:val="0"/>
                <w:sz w:val="15"/>
              </w:rPr>
              <w:t>PASS - no speaker overlap across train/validation/test</w:t>
            </w:r>
          </w:p>
        </w:tc>
      </w:tr>
      <w:tr>
        <w:tc>
          <w:tcPr>
            <w:tcW w:type="dxa" w:w="4874"/>
          </w:tcPr>
          <w:p>
            <w:pPr>
              <w:spacing w:after="0"/>
            </w:pPr>
            <w:r>
              <w:rPr>
                <w:rFonts w:ascii="Times New Roman" w:hAnsi="Times New Roman"/>
                <w:b w:val="0"/>
                <w:sz w:val="15"/>
              </w:rPr>
              <w:t>Application</w:t>
            </w:r>
          </w:p>
        </w:tc>
        <w:tc>
          <w:tcPr>
            <w:tcW w:type="dxa" w:w="4874"/>
          </w:tcPr>
          <w:p>
            <w:pPr>
              <w:spacing w:after="0"/>
            </w:pPr>
            <w:r>
              <w:rPr>
                <w:rFonts w:ascii="Times New Roman" w:hAnsi="Times New Roman"/>
                <w:b w:val="0"/>
                <w:sz w:val="15"/>
              </w:rPr>
              <w:t>Backend API and React UI operational</w:t>
            </w:r>
          </w:p>
        </w:tc>
      </w:tr>
    </w:tbl>
    <w:p>
      <w:pPr>
        <w:pStyle w:val="Heading1"/>
      </w:pPr>
      <w:r>
        <w:t>2. Completed Work Packages</w:t>
      </w:r>
    </w:p>
    <w:p>
      <w:pPr>
        <w:jc w:val="center"/>
      </w:pPr>
      <w:r>
        <w:rPr>
          <w:b/>
          <w:sz w:val="16"/>
        </w:rPr>
        <w:t>TABLE 2. IMPLEMENTED CAPSTONE COMPONENTS</w:t>
      </w:r>
    </w:p>
    <w:tbl>
      <w:tblPr>
        <w:tblStyle w:val="TableGrid"/>
        <w:tblW w:type="auto" w:w="0"/>
        <w:tblLook w:firstColumn="1" w:firstRow="1" w:lastColumn="0" w:lastRow="0" w:noHBand="0" w:noVBand="1" w:val="04A0"/>
      </w:tblPr>
      <w:tblGrid>
        <w:gridCol w:w="4874"/>
        <w:gridCol w:w="4874"/>
      </w:tblGrid>
      <w:tr>
        <w:tc>
          <w:tcPr>
            <w:tcW w:type="dxa" w:w="4874"/>
          </w:tcPr>
          <w:p>
            <w:pPr>
              <w:spacing w:after="0"/>
            </w:pPr>
            <w:r>
              <w:rPr>
                <w:rFonts w:ascii="Times New Roman" w:hAnsi="Times New Roman"/>
                <w:b/>
                <w:sz w:val="15"/>
              </w:rPr>
              <w:t>Work package</w:t>
            </w:r>
          </w:p>
        </w:tc>
        <w:tc>
          <w:tcPr>
            <w:tcW w:type="dxa" w:w="4874"/>
          </w:tcPr>
          <w:p>
            <w:pPr>
              <w:spacing w:after="0"/>
            </w:pPr>
            <w:r>
              <w:rPr>
                <w:rFonts w:ascii="Times New Roman" w:hAnsi="Times New Roman"/>
                <w:b/>
                <w:sz w:val="15"/>
              </w:rPr>
              <w:t>Evidence</w:t>
            </w:r>
          </w:p>
        </w:tc>
      </w:tr>
      <w:tr>
        <w:tc>
          <w:tcPr>
            <w:tcW w:type="dxa" w:w="4874"/>
          </w:tcPr>
          <w:p>
            <w:pPr>
              <w:spacing w:after="0"/>
            </w:pPr>
            <w:r>
              <w:rPr>
                <w:rFonts w:ascii="Times New Roman" w:hAnsi="Times New Roman"/>
                <w:b w:val="0"/>
                <w:sz w:val="15"/>
              </w:rPr>
              <w:t>Problem framing and five RQs</w:t>
            </w:r>
          </w:p>
        </w:tc>
        <w:tc>
          <w:tcPr>
            <w:tcW w:type="dxa" w:w="4874"/>
          </w:tcPr>
          <w:p>
            <w:pPr>
              <w:spacing w:after="0"/>
            </w:pPr>
            <w:r>
              <w:rPr>
                <w:rFonts w:ascii="Times New Roman" w:hAnsi="Times New Roman"/>
                <w:b w:val="0"/>
                <w:sz w:val="15"/>
              </w:rPr>
              <w:t>Proposal traceability complete</w:t>
            </w:r>
          </w:p>
        </w:tc>
      </w:tr>
      <w:tr>
        <w:tc>
          <w:tcPr>
            <w:tcW w:type="dxa" w:w="4874"/>
          </w:tcPr>
          <w:p>
            <w:pPr>
              <w:spacing w:after="0"/>
            </w:pPr>
            <w:r>
              <w:rPr>
                <w:rFonts w:ascii="Times New Roman" w:hAnsi="Times New Roman"/>
                <w:b w:val="0"/>
                <w:sz w:val="15"/>
              </w:rPr>
              <w:t>Three-language data ingest</w:t>
            </w:r>
          </w:p>
        </w:tc>
        <w:tc>
          <w:tcPr>
            <w:tcW w:type="dxa" w:w="4874"/>
          </w:tcPr>
          <w:p>
            <w:pPr>
              <w:spacing w:after="0"/>
            </w:pPr>
            <w:r>
              <w:rPr>
                <w:rFonts w:ascii="Times New Roman" w:hAnsi="Times New Roman"/>
                <w:b w:val="0"/>
                <w:sz w:val="15"/>
              </w:rPr>
              <w:t>Hindi, Marathi, Tamil persisted</w:t>
            </w:r>
          </w:p>
        </w:tc>
      </w:tr>
      <w:tr>
        <w:tc>
          <w:tcPr>
            <w:tcW w:type="dxa" w:w="4874"/>
          </w:tcPr>
          <w:p>
            <w:pPr>
              <w:spacing w:after="0"/>
            </w:pPr>
            <w:r>
              <w:rPr>
                <w:rFonts w:ascii="Times New Roman" w:hAnsi="Times New Roman"/>
                <w:b w:val="0"/>
                <w:sz w:val="15"/>
              </w:rPr>
              <w:t>Balanced real/fake source cells</w:t>
            </w:r>
          </w:p>
        </w:tc>
        <w:tc>
          <w:tcPr>
            <w:tcW w:type="dxa" w:w="4874"/>
          </w:tcPr>
          <w:p>
            <w:pPr>
              <w:spacing w:after="0"/>
            </w:pPr>
            <w:r>
              <w:rPr>
                <w:rFonts w:ascii="Times New Roman" w:hAnsi="Times New Roman"/>
                <w:b w:val="0"/>
                <w:sz w:val="15"/>
              </w:rPr>
              <w:t>900 Kathbath / 900 IndicSynth</w:t>
            </w:r>
          </w:p>
        </w:tc>
      </w:tr>
      <w:tr>
        <w:tc>
          <w:tcPr>
            <w:tcW w:type="dxa" w:w="4874"/>
          </w:tcPr>
          <w:p>
            <w:pPr>
              <w:spacing w:after="0"/>
            </w:pPr>
            <w:r>
              <w:rPr>
                <w:rFonts w:ascii="Times New Roman" w:hAnsi="Times New Roman"/>
                <w:b w:val="0"/>
                <w:sz w:val="15"/>
              </w:rPr>
              <w:t>Speaker-disjoint split</w:t>
            </w:r>
          </w:p>
        </w:tc>
        <w:tc>
          <w:tcPr>
            <w:tcW w:type="dxa" w:w="4874"/>
          </w:tcPr>
          <w:p>
            <w:pPr>
              <w:spacing w:after="0"/>
            </w:pPr>
            <w:r>
              <w:rPr>
                <w:rFonts w:ascii="Times New Roman" w:hAnsi="Times New Roman"/>
                <w:b w:val="0"/>
                <w:sz w:val="15"/>
              </w:rPr>
              <w:t>1254 train / 508 val / 584 test instances</w:t>
            </w:r>
          </w:p>
        </w:tc>
      </w:tr>
      <w:tr>
        <w:tc>
          <w:tcPr>
            <w:tcW w:type="dxa" w:w="4874"/>
          </w:tcPr>
          <w:p>
            <w:pPr>
              <w:spacing w:after="0"/>
            </w:pPr>
            <w:r>
              <w:rPr>
                <w:rFonts w:ascii="Times New Roman" w:hAnsi="Times New Roman"/>
                <w:b w:val="0"/>
                <w:sz w:val="15"/>
              </w:rPr>
              <w:t>Compression robustness</w:t>
            </w:r>
          </w:p>
        </w:tc>
        <w:tc>
          <w:tcPr>
            <w:tcW w:type="dxa" w:w="4874"/>
          </w:tcPr>
          <w:p>
            <w:pPr>
              <w:spacing w:after="0"/>
            </w:pPr>
            <w:r>
              <w:rPr>
                <w:rFonts w:ascii="Times New Roman" w:hAnsi="Times New Roman"/>
                <w:b w:val="0"/>
                <w:sz w:val="15"/>
              </w:rPr>
              <w:t>546 paired 16 kbps libopus twins</w:t>
            </w:r>
          </w:p>
        </w:tc>
      </w:tr>
      <w:tr>
        <w:tc>
          <w:tcPr>
            <w:tcW w:type="dxa" w:w="4874"/>
          </w:tcPr>
          <w:p>
            <w:pPr>
              <w:spacing w:after="0"/>
            </w:pPr>
            <w:r>
              <w:rPr>
                <w:rFonts w:ascii="Times New Roman" w:hAnsi="Times New Roman"/>
                <w:b w:val="0"/>
                <w:sz w:val="15"/>
              </w:rPr>
              <w:t>Detector training</w:t>
            </w:r>
          </w:p>
        </w:tc>
        <w:tc>
          <w:tcPr>
            <w:tcW w:type="dxa" w:w="4874"/>
          </w:tcPr>
          <w:p>
            <w:pPr>
              <w:spacing w:after="0"/>
            </w:pPr>
            <w:r>
              <w:rPr>
                <w:rFonts w:ascii="Times New Roman" w:hAnsi="Times New Roman"/>
                <w:b w:val="0"/>
                <w:sz w:val="15"/>
              </w:rPr>
              <w:t>Primary and three RQ3 checkpoints</w:t>
            </w:r>
          </w:p>
        </w:tc>
      </w:tr>
      <w:tr>
        <w:tc>
          <w:tcPr>
            <w:tcW w:type="dxa" w:w="4874"/>
          </w:tcPr>
          <w:p>
            <w:pPr>
              <w:spacing w:after="0"/>
            </w:pPr>
            <w:r>
              <w:rPr>
                <w:rFonts w:ascii="Times New Roman" w:hAnsi="Times New Roman"/>
                <w:b w:val="0"/>
                <w:sz w:val="15"/>
              </w:rPr>
              <w:t>Calibration</w:t>
            </w:r>
          </w:p>
        </w:tc>
        <w:tc>
          <w:tcPr>
            <w:tcW w:type="dxa" w:w="4874"/>
          </w:tcPr>
          <w:p>
            <w:pPr>
              <w:spacing w:after="0"/>
            </w:pPr>
            <w:r>
              <w:rPr>
                <w:rFonts w:ascii="Times New Roman" w:hAnsi="Times New Roman"/>
                <w:b w:val="0"/>
                <w:sz w:val="15"/>
              </w:rPr>
              <w:t>Validation-only per-language/condition temperatures</w:t>
            </w:r>
          </w:p>
        </w:tc>
      </w:tr>
      <w:tr>
        <w:tc>
          <w:tcPr>
            <w:tcW w:type="dxa" w:w="4874"/>
          </w:tcPr>
          <w:p>
            <w:pPr>
              <w:spacing w:after="0"/>
            </w:pPr>
            <w:r>
              <w:rPr>
                <w:rFonts w:ascii="Times New Roman" w:hAnsi="Times New Roman"/>
                <w:b w:val="0"/>
                <w:sz w:val="15"/>
              </w:rPr>
              <w:t>Explainability</w:t>
            </w:r>
          </w:p>
        </w:tc>
        <w:tc>
          <w:tcPr>
            <w:tcW w:type="dxa" w:w="4874"/>
          </w:tcPr>
          <w:p>
            <w:pPr>
              <w:spacing w:after="0"/>
            </w:pPr>
            <w:r>
              <w:rPr>
                <w:rFonts w:ascii="Times New Roman" w:hAnsi="Times New Roman"/>
                <w:b w:val="0"/>
                <w:sz w:val="15"/>
              </w:rPr>
              <w:t>Five stored explanation views per prediction</w:t>
            </w:r>
          </w:p>
        </w:tc>
      </w:tr>
      <w:tr>
        <w:tc>
          <w:tcPr>
            <w:tcW w:type="dxa" w:w="4874"/>
          </w:tcPr>
          <w:p>
            <w:pPr>
              <w:spacing w:after="0"/>
            </w:pPr>
            <w:r>
              <w:rPr>
                <w:rFonts w:ascii="Times New Roman" w:hAnsi="Times New Roman"/>
                <w:b w:val="0"/>
                <w:sz w:val="15"/>
              </w:rPr>
              <w:t>Web application</w:t>
            </w:r>
          </w:p>
        </w:tc>
        <w:tc>
          <w:tcPr>
            <w:tcW w:type="dxa" w:w="4874"/>
          </w:tcPr>
          <w:p>
            <w:pPr>
              <w:spacing w:after="0"/>
            </w:pPr>
            <w:r>
              <w:rPr>
                <w:rFonts w:ascii="Times New Roman" w:hAnsi="Times New Roman"/>
                <w:b w:val="0"/>
                <w:sz w:val="15"/>
              </w:rPr>
              <w:t>Upload, live, dashboard, research, admin, docs</w:t>
            </w:r>
          </w:p>
        </w:tc>
      </w:tr>
      <w:tr>
        <w:tc>
          <w:tcPr>
            <w:tcW w:type="dxa" w:w="4874"/>
          </w:tcPr>
          <w:p>
            <w:pPr>
              <w:spacing w:after="0"/>
            </w:pPr>
            <w:r>
              <w:rPr>
                <w:rFonts w:ascii="Times New Roman" w:hAnsi="Times New Roman"/>
                <w:b w:val="0"/>
                <w:sz w:val="15"/>
              </w:rPr>
              <w:t>Submission artefacts</w:t>
            </w:r>
          </w:p>
        </w:tc>
        <w:tc>
          <w:tcPr>
            <w:tcW w:type="dxa" w:w="4874"/>
          </w:tcPr>
          <w:p>
            <w:pPr>
              <w:spacing w:after="0"/>
            </w:pPr>
            <w:r>
              <w:rPr>
                <w:rFonts w:ascii="Times New Roman" w:hAnsi="Times New Roman"/>
                <w:b w:val="0"/>
                <w:sz w:val="15"/>
              </w:rPr>
              <w:t>Master DOCX and IEEE-style paper generated</w:t>
            </w:r>
          </w:p>
        </w:tc>
      </w:tr>
    </w:tbl>
    <w:p>
      <w:pPr>
        <w:jc w:val="center"/>
      </w:pPr>
      <w:r>
        <w:drawing>
          <wp:inline xmlns:a="http://schemas.openxmlformats.org/drawingml/2006/main" xmlns:pic="http://schemas.openxmlformats.org/drawingml/2006/picture">
            <wp:extent cx="5760720" cy="3226003"/>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760720" cy="3226003"/>
                    </a:xfrm>
                    <a:prstGeom prst="rect"/>
                  </pic:spPr>
                </pic:pic>
              </a:graphicData>
            </a:graphic>
          </wp:inline>
        </w:drawing>
      </w:r>
    </w:p>
    <w:p>
      <w:pPr>
        <w:jc w:val="center"/>
      </w:pPr>
      <w:r>
        <w:t>Fig. 1. Implemented VaaniQ three-tier architecture.</w:t>
      </w:r>
    </w:p>
    <w:p>
      <w:pPr>
        <w:pStyle w:val="Heading1"/>
      </w:pPr>
      <w:r>
        <w:t>3. Dataset and Reproducibility Evidence</w:t>
      </w:r>
    </w:p>
    <w:p>
      <w:pPr>
        <w:spacing w:after="40" w:line="240" w:lineRule="auto"/>
        <w:ind w:firstLine="230"/>
        <w:jc w:val="both"/>
      </w:pPr>
      <w:r>
        <w:t>The complete six target-language source cells exceed 303 GB. The declared evaluation population is therefore a reproducible bounded subset rather than an unspecified sample. Every manifest row includes source, language, label, speaker, split, duration, checksum, and model provenance. Shared source and target speaker identifiers are assigned to one split before augmentation.</w:t>
      </w:r>
    </w:p>
    <w:p>
      <w:pPr>
        <w:jc w:val="center"/>
      </w:pPr>
      <w:r>
        <w:rPr>
          <w:b/>
          <w:sz w:val="16"/>
        </w:rPr>
        <w:t>TABLE 3. BALANCED SOURCE CELLS AND LANGUAGE RESULTS</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tcPr>
          <w:p>
            <w:pPr>
              <w:spacing w:after="0"/>
            </w:pPr>
            <w:r>
              <w:rPr>
                <w:rFonts w:ascii="Times New Roman" w:hAnsi="Times New Roman"/>
                <w:b/>
                <w:sz w:val="15"/>
              </w:rPr>
              <w:t>Language</w:t>
            </w:r>
          </w:p>
        </w:tc>
        <w:tc>
          <w:tcPr>
            <w:tcW w:type="dxa" w:w="1950"/>
          </w:tcPr>
          <w:p>
            <w:pPr>
              <w:spacing w:after="0"/>
            </w:pPr>
            <w:r>
              <w:rPr>
                <w:rFonts w:ascii="Times New Roman" w:hAnsi="Times New Roman"/>
                <w:b/>
                <w:sz w:val="15"/>
              </w:rPr>
              <w:t>Source clips</w:t>
            </w:r>
          </w:p>
        </w:tc>
        <w:tc>
          <w:tcPr>
            <w:tcW w:type="dxa" w:w="1950"/>
          </w:tcPr>
          <w:p>
            <w:pPr>
              <w:spacing w:after="0"/>
            </w:pPr>
            <w:r>
              <w:rPr>
                <w:rFonts w:ascii="Times New Roman" w:hAnsi="Times New Roman"/>
                <w:b/>
                <w:sz w:val="15"/>
              </w:rPr>
              <w:t>Held-out instances</w:t>
            </w:r>
          </w:p>
        </w:tc>
        <w:tc>
          <w:tcPr>
            <w:tcW w:type="dxa" w:w="1950"/>
          </w:tcPr>
          <w:p>
            <w:pPr>
              <w:spacing w:after="0"/>
            </w:pPr>
            <w:r>
              <w:rPr>
                <w:rFonts w:ascii="Times New Roman" w:hAnsi="Times New Roman"/>
                <w:b/>
                <w:sz w:val="15"/>
              </w:rPr>
              <w:t>Accuracy</w:t>
            </w:r>
          </w:p>
        </w:tc>
        <w:tc>
          <w:tcPr>
            <w:tcW w:type="dxa" w:w="1950"/>
          </w:tcPr>
          <w:p>
            <w:pPr>
              <w:spacing w:after="0"/>
            </w:pPr>
            <w:r>
              <w:rPr>
                <w:rFonts w:ascii="Times New Roman" w:hAnsi="Times New Roman"/>
                <w:b/>
                <w:sz w:val="15"/>
              </w:rPr>
              <w:t>EER</w:t>
            </w:r>
          </w:p>
        </w:tc>
      </w:tr>
      <w:tr>
        <w:tc>
          <w:tcPr>
            <w:tcW w:type="dxa" w:w="1950"/>
          </w:tcPr>
          <w:p>
            <w:pPr>
              <w:spacing w:after="0"/>
            </w:pPr>
            <w:r>
              <w:rPr>
                <w:rFonts w:ascii="Times New Roman" w:hAnsi="Times New Roman"/>
                <w:b w:val="0"/>
                <w:sz w:val="15"/>
              </w:rPr>
              <w:t>Hindi</w:t>
            </w:r>
          </w:p>
        </w:tc>
        <w:tc>
          <w:tcPr>
            <w:tcW w:type="dxa" w:w="1950"/>
          </w:tcPr>
          <w:p>
            <w:pPr>
              <w:spacing w:after="0"/>
            </w:pPr>
            <w:r>
              <w:rPr>
                <w:rFonts w:ascii="Times New Roman" w:hAnsi="Times New Roman"/>
                <w:b w:val="0"/>
                <w:sz w:val="15"/>
              </w:rPr>
              <w:t>600</w:t>
            </w:r>
          </w:p>
        </w:tc>
        <w:tc>
          <w:tcPr>
            <w:tcW w:type="dxa" w:w="1950"/>
          </w:tcPr>
          <w:p>
            <w:pPr>
              <w:spacing w:after="0"/>
            </w:pPr>
            <w:r>
              <w:rPr>
                <w:rFonts w:ascii="Times New Roman" w:hAnsi="Times New Roman"/>
                <w:b w:val="0"/>
                <w:sz w:val="15"/>
              </w:rPr>
              <w:t>222</w:t>
            </w:r>
          </w:p>
        </w:tc>
        <w:tc>
          <w:tcPr>
            <w:tcW w:type="dxa" w:w="1950"/>
          </w:tcPr>
          <w:p>
            <w:pPr>
              <w:spacing w:after="0"/>
            </w:pPr>
            <w:r>
              <w:rPr>
                <w:rFonts w:ascii="Times New Roman" w:hAnsi="Times New Roman"/>
                <w:b w:val="0"/>
                <w:sz w:val="15"/>
              </w:rPr>
              <w:t>91.0%</w:t>
            </w:r>
          </w:p>
        </w:tc>
        <w:tc>
          <w:tcPr>
            <w:tcW w:type="dxa" w:w="1950"/>
          </w:tcPr>
          <w:p>
            <w:pPr>
              <w:spacing w:after="0"/>
            </w:pPr>
            <w:r>
              <w:rPr>
                <w:rFonts w:ascii="Times New Roman" w:hAnsi="Times New Roman"/>
                <w:b w:val="0"/>
                <w:sz w:val="15"/>
              </w:rPr>
              <w:t>7.0%</w:t>
            </w:r>
          </w:p>
        </w:tc>
      </w:tr>
      <w:tr>
        <w:tc>
          <w:tcPr>
            <w:tcW w:type="dxa" w:w="1950"/>
          </w:tcPr>
          <w:p>
            <w:pPr>
              <w:spacing w:after="0"/>
            </w:pPr>
            <w:r>
              <w:rPr>
                <w:rFonts w:ascii="Times New Roman" w:hAnsi="Times New Roman"/>
                <w:b w:val="0"/>
                <w:sz w:val="15"/>
              </w:rPr>
              <w:t>Marathi</w:t>
            </w:r>
          </w:p>
        </w:tc>
        <w:tc>
          <w:tcPr>
            <w:tcW w:type="dxa" w:w="1950"/>
          </w:tcPr>
          <w:p>
            <w:pPr>
              <w:spacing w:after="0"/>
            </w:pPr>
            <w:r>
              <w:rPr>
                <w:rFonts w:ascii="Times New Roman" w:hAnsi="Times New Roman"/>
                <w:b w:val="0"/>
                <w:sz w:val="15"/>
              </w:rPr>
              <w:t>600</w:t>
            </w:r>
          </w:p>
        </w:tc>
        <w:tc>
          <w:tcPr>
            <w:tcW w:type="dxa" w:w="1950"/>
          </w:tcPr>
          <w:p>
            <w:pPr>
              <w:spacing w:after="0"/>
            </w:pPr>
            <w:r>
              <w:rPr>
                <w:rFonts w:ascii="Times New Roman" w:hAnsi="Times New Roman"/>
                <w:b w:val="0"/>
                <w:sz w:val="15"/>
              </w:rPr>
              <w:t>164</w:t>
            </w:r>
          </w:p>
        </w:tc>
        <w:tc>
          <w:tcPr>
            <w:tcW w:type="dxa" w:w="1950"/>
          </w:tcPr>
          <w:p>
            <w:pPr>
              <w:spacing w:after="0"/>
            </w:pPr>
            <w:r>
              <w:rPr>
                <w:rFonts w:ascii="Times New Roman" w:hAnsi="Times New Roman"/>
                <w:b w:val="0"/>
                <w:sz w:val="15"/>
              </w:rPr>
              <w:t>93.3%</w:t>
            </w:r>
          </w:p>
        </w:tc>
        <w:tc>
          <w:tcPr>
            <w:tcW w:type="dxa" w:w="1950"/>
          </w:tcPr>
          <w:p>
            <w:pPr>
              <w:spacing w:after="0"/>
            </w:pPr>
            <w:r>
              <w:rPr>
                <w:rFonts w:ascii="Times New Roman" w:hAnsi="Times New Roman"/>
                <w:b w:val="0"/>
                <w:sz w:val="15"/>
              </w:rPr>
              <w:t>6.2%</w:t>
            </w:r>
          </w:p>
        </w:tc>
      </w:tr>
      <w:tr>
        <w:tc>
          <w:tcPr>
            <w:tcW w:type="dxa" w:w="1950"/>
          </w:tcPr>
          <w:p>
            <w:pPr>
              <w:spacing w:after="0"/>
            </w:pPr>
            <w:r>
              <w:rPr>
                <w:rFonts w:ascii="Times New Roman" w:hAnsi="Times New Roman"/>
                <w:b w:val="0"/>
                <w:sz w:val="15"/>
              </w:rPr>
              <w:t>Tamil</w:t>
            </w:r>
          </w:p>
        </w:tc>
        <w:tc>
          <w:tcPr>
            <w:tcW w:type="dxa" w:w="1950"/>
          </w:tcPr>
          <w:p>
            <w:pPr>
              <w:spacing w:after="0"/>
            </w:pPr>
            <w:r>
              <w:rPr>
                <w:rFonts w:ascii="Times New Roman" w:hAnsi="Times New Roman"/>
                <w:b w:val="0"/>
                <w:sz w:val="15"/>
              </w:rPr>
              <w:t>600</w:t>
            </w:r>
          </w:p>
        </w:tc>
        <w:tc>
          <w:tcPr>
            <w:tcW w:type="dxa" w:w="1950"/>
          </w:tcPr>
          <w:p>
            <w:pPr>
              <w:spacing w:after="0"/>
            </w:pPr>
            <w:r>
              <w:rPr>
                <w:rFonts w:ascii="Times New Roman" w:hAnsi="Times New Roman"/>
                <w:b w:val="0"/>
                <w:sz w:val="15"/>
              </w:rPr>
              <w:t>198</w:t>
            </w:r>
          </w:p>
        </w:tc>
        <w:tc>
          <w:tcPr>
            <w:tcW w:type="dxa" w:w="1950"/>
          </w:tcPr>
          <w:p>
            <w:pPr>
              <w:spacing w:after="0"/>
            </w:pPr>
            <w:r>
              <w:rPr>
                <w:rFonts w:ascii="Times New Roman" w:hAnsi="Times New Roman"/>
                <w:b w:val="0"/>
                <w:sz w:val="15"/>
              </w:rPr>
              <w:t>90.9%</w:t>
            </w:r>
          </w:p>
        </w:tc>
        <w:tc>
          <w:tcPr>
            <w:tcW w:type="dxa" w:w="1950"/>
          </w:tcPr>
          <w:p>
            <w:pPr>
              <w:spacing w:after="0"/>
            </w:pPr>
            <w:r>
              <w:rPr>
                <w:rFonts w:ascii="Times New Roman" w:hAnsi="Times New Roman"/>
                <w:b w:val="0"/>
                <w:sz w:val="15"/>
              </w:rPr>
              <w:t>7.1%</w:t>
            </w:r>
          </w:p>
        </w:tc>
      </w:tr>
    </w:tbl>
    <w:p>
      <w:pPr>
        <w:pStyle w:val="Heading1"/>
      </w:pPr>
      <w:r>
        <w:t>4. Measured Model Results</w:t>
      </w:r>
    </w:p>
    <w:p>
      <w:pPr>
        <w:jc w:val="center"/>
      </w:pPr>
      <w:r>
        <w:rPr>
          <w:b/>
          <w:sz w:val="16"/>
        </w:rPr>
        <w:t>TABLE 4. OVERALL HELD-OUT PUBLICATION-SUBSET METRICS</w:t>
      </w:r>
    </w:p>
    <w:tbl>
      <w:tblPr>
        <w:tblStyle w:val="TableGrid"/>
        <w:tblW w:type="auto" w:w="0"/>
        <w:tblLook w:firstColumn="1" w:firstRow="1" w:lastColumn="0" w:lastRow="0" w:noHBand="0" w:noVBand="1" w:val="04A0"/>
      </w:tblPr>
      <w:tblGrid>
        <w:gridCol w:w="4874"/>
        <w:gridCol w:w="4874"/>
      </w:tblGrid>
      <w:tr>
        <w:tc>
          <w:tcPr>
            <w:tcW w:type="dxa" w:w="4874"/>
          </w:tcPr>
          <w:p>
            <w:pPr>
              <w:spacing w:after="0"/>
            </w:pPr>
            <w:r>
              <w:rPr>
                <w:rFonts w:ascii="Times New Roman" w:hAnsi="Times New Roman"/>
                <w:b/>
                <w:sz w:val="15"/>
              </w:rPr>
              <w:t>Metric</w:t>
            </w:r>
          </w:p>
        </w:tc>
        <w:tc>
          <w:tcPr>
            <w:tcW w:type="dxa" w:w="4874"/>
          </w:tcPr>
          <w:p>
            <w:pPr>
              <w:spacing w:after="0"/>
            </w:pPr>
            <w:r>
              <w:rPr>
                <w:rFonts w:ascii="Times New Roman" w:hAnsi="Times New Roman"/>
                <w:b/>
                <w:sz w:val="15"/>
              </w:rPr>
              <w:t>Value</w:t>
            </w:r>
          </w:p>
        </w:tc>
      </w:tr>
      <w:tr>
        <w:tc>
          <w:tcPr>
            <w:tcW w:type="dxa" w:w="4874"/>
          </w:tcPr>
          <w:p>
            <w:pPr>
              <w:spacing w:after="0"/>
            </w:pPr>
            <w:r>
              <w:rPr>
                <w:rFonts w:ascii="Times New Roman" w:hAnsi="Times New Roman"/>
                <w:b w:val="0"/>
                <w:sz w:val="15"/>
              </w:rPr>
              <w:t>Accuracy</w:t>
            </w:r>
          </w:p>
        </w:tc>
        <w:tc>
          <w:tcPr>
            <w:tcW w:type="dxa" w:w="4874"/>
          </w:tcPr>
          <w:p>
            <w:pPr>
              <w:spacing w:after="0"/>
            </w:pPr>
            <w:r>
              <w:rPr>
                <w:rFonts w:ascii="Times New Roman" w:hAnsi="Times New Roman"/>
                <w:b w:val="0"/>
                <w:sz w:val="15"/>
              </w:rPr>
              <w:t>91.61%</w:t>
            </w:r>
          </w:p>
        </w:tc>
      </w:tr>
      <w:tr>
        <w:tc>
          <w:tcPr>
            <w:tcW w:type="dxa" w:w="4874"/>
          </w:tcPr>
          <w:p>
            <w:pPr>
              <w:spacing w:after="0"/>
            </w:pPr>
            <w:r>
              <w:rPr>
                <w:rFonts w:ascii="Times New Roman" w:hAnsi="Times New Roman"/>
                <w:b w:val="0"/>
                <w:sz w:val="15"/>
              </w:rPr>
              <w:t>Precision</w:t>
            </w:r>
          </w:p>
        </w:tc>
        <w:tc>
          <w:tcPr>
            <w:tcW w:type="dxa" w:w="4874"/>
          </w:tcPr>
          <w:p>
            <w:pPr>
              <w:spacing w:after="0"/>
            </w:pPr>
            <w:r>
              <w:rPr>
                <w:rFonts w:ascii="Times New Roman" w:hAnsi="Times New Roman"/>
                <w:b w:val="0"/>
                <w:sz w:val="15"/>
              </w:rPr>
              <w:t>85.48%</w:t>
            </w:r>
          </w:p>
        </w:tc>
      </w:tr>
      <w:tr>
        <w:tc>
          <w:tcPr>
            <w:tcW w:type="dxa" w:w="4874"/>
          </w:tcPr>
          <w:p>
            <w:pPr>
              <w:spacing w:after="0"/>
            </w:pPr>
            <w:r>
              <w:rPr>
                <w:rFonts w:ascii="Times New Roman" w:hAnsi="Times New Roman"/>
                <w:b w:val="0"/>
                <w:sz w:val="15"/>
              </w:rPr>
              <w:t>Recall</w:t>
            </w:r>
          </w:p>
        </w:tc>
        <w:tc>
          <w:tcPr>
            <w:tcW w:type="dxa" w:w="4874"/>
          </w:tcPr>
          <w:p>
            <w:pPr>
              <w:spacing w:after="0"/>
            </w:pPr>
            <w:r>
              <w:rPr>
                <w:rFonts w:ascii="Times New Roman" w:hAnsi="Times New Roman"/>
                <w:b w:val="0"/>
                <w:sz w:val="15"/>
              </w:rPr>
              <w:t>98.11%</w:t>
            </w:r>
          </w:p>
        </w:tc>
      </w:tr>
      <w:tr>
        <w:tc>
          <w:tcPr>
            <w:tcW w:type="dxa" w:w="4874"/>
          </w:tcPr>
          <w:p>
            <w:pPr>
              <w:spacing w:after="0"/>
            </w:pPr>
            <w:r>
              <w:rPr>
                <w:rFonts w:ascii="Times New Roman" w:hAnsi="Times New Roman"/>
                <w:b w:val="0"/>
                <w:sz w:val="15"/>
              </w:rPr>
              <w:t>F1</w:t>
            </w:r>
          </w:p>
        </w:tc>
        <w:tc>
          <w:tcPr>
            <w:tcW w:type="dxa" w:w="4874"/>
          </w:tcPr>
          <w:p>
            <w:pPr>
              <w:spacing w:after="0"/>
            </w:pPr>
            <w:r>
              <w:rPr>
                <w:rFonts w:ascii="Times New Roman" w:hAnsi="Times New Roman"/>
                <w:b w:val="0"/>
                <w:sz w:val="15"/>
              </w:rPr>
              <w:t>91.36%</w:t>
            </w:r>
          </w:p>
        </w:tc>
      </w:tr>
      <w:tr>
        <w:tc>
          <w:tcPr>
            <w:tcW w:type="dxa" w:w="4874"/>
          </w:tcPr>
          <w:p>
            <w:pPr>
              <w:spacing w:after="0"/>
            </w:pPr>
            <w:r>
              <w:rPr>
                <w:rFonts w:ascii="Times New Roman" w:hAnsi="Times New Roman"/>
                <w:b w:val="0"/>
                <w:sz w:val="15"/>
              </w:rPr>
              <w:t>EER</w:t>
            </w:r>
          </w:p>
        </w:tc>
        <w:tc>
          <w:tcPr>
            <w:tcW w:type="dxa" w:w="4874"/>
          </w:tcPr>
          <w:p>
            <w:pPr>
              <w:spacing w:after="0"/>
            </w:pPr>
            <w:r>
              <w:rPr>
                <w:rFonts w:ascii="Times New Roman" w:hAnsi="Times New Roman"/>
                <w:b w:val="0"/>
                <w:sz w:val="15"/>
              </w:rPr>
              <w:t>6.56%</w:t>
            </w:r>
          </w:p>
        </w:tc>
      </w:tr>
      <w:tr>
        <w:tc>
          <w:tcPr>
            <w:tcW w:type="dxa" w:w="4874"/>
          </w:tcPr>
          <w:p>
            <w:pPr>
              <w:spacing w:after="0"/>
            </w:pPr>
            <w:r>
              <w:rPr>
                <w:rFonts w:ascii="Times New Roman" w:hAnsi="Times New Roman"/>
                <w:b w:val="0"/>
                <w:sz w:val="15"/>
              </w:rPr>
              <w:t>ROC-AUC</w:t>
            </w:r>
          </w:p>
        </w:tc>
        <w:tc>
          <w:tcPr>
            <w:tcW w:type="dxa" w:w="4874"/>
          </w:tcPr>
          <w:p>
            <w:pPr>
              <w:spacing w:after="0"/>
            </w:pPr>
            <w:r>
              <w:rPr>
                <w:rFonts w:ascii="Times New Roman" w:hAnsi="Times New Roman"/>
                <w:b w:val="0"/>
                <w:sz w:val="15"/>
              </w:rPr>
              <w:t>0.9729</w:t>
            </w:r>
          </w:p>
        </w:tc>
      </w:tr>
      <w:tr>
        <w:tc>
          <w:tcPr>
            <w:tcW w:type="dxa" w:w="4874"/>
          </w:tcPr>
          <w:p>
            <w:pPr>
              <w:spacing w:after="0"/>
            </w:pPr>
            <w:r>
              <w:rPr>
                <w:rFonts w:ascii="Times New Roman" w:hAnsi="Times New Roman"/>
                <w:b w:val="0"/>
                <w:sz w:val="15"/>
              </w:rPr>
              <w:t>min-DCF</w:t>
            </w:r>
          </w:p>
        </w:tc>
        <w:tc>
          <w:tcPr>
            <w:tcW w:type="dxa" w:w="4874"/>
          </w:tcPr>
          <w:p>
            <w:pPr>
              <w:spacing w:after="0"/>
            </w:pPr>
            <w:r>
              <w:rPr>
                <w:rFonts w:ascii="Times New Roman" w:hAnsi="Times New Roman"/>
                <w:b w:val="0"/>
                <w:sz w:val="15"/>
              </w:rPr>
              <w:t>0.7841</w:t>
            </w:r>
          </w:p>
        </w:tc>
      </w:tr>
    </w:tbl>
    <w:p>
      <w:pPr>
        <w:jc w:val="center"/>
      </w:pPr>
      <w:r>
        <w:drawing>
          <wp:inline xmlns:a="http://schemas.openxmlformats.org/drawingml/2006/main" xmlns:pic="http://schemas.openxmlformats.org/drawingml/2006/picture">
            <wp:extent cx="5760720" cy="3328416"/>
            <wp:docPr id="2" name="Picture 2"/>
            <wp:cNvGraphicFramePr>
              <a:graphicFrameLocks noChangeAspect="1"/>
            </wp:cNvGraphicFramePr>
            <a:graphic>
              <a:graphicData uri="http://schemas.openxmlformats.org/drawingml/2006/picture">
                <pic:pic>
                  <pic:nvPicPr>
                    <pic:cNvPr id="0" name="performance_overview.png"/>
                    <pic:cNvPicPr/>
                  </pic:nvPicPr>
                  <pic:blipFill>
                    <a:blip r:embed="rId10"/>
                    <a:stretch>
                      <a:fillRect/>
                    </a:stretch>
                  </pic:blipFill>
                  <pic:spPr>
                    <a:xfrm>
                      <a:off x="0" y="0"/>
                      <a:ext cx="5760720" cy="3328416"/>
                    </a:xfrm>
                    <a:prstGeom prst="rect"/>
                  </pic:spPr>
                </pic:pic>
              </a:graphicData>
            </a:graphic>
          </wp:inline>
        </w:drawing>
      </w:r>
    </w:p>
    <w:p>
      <w:pPr>
        <w:jc w:val="center"/>
      </w:pPr>
      <w:r>
        <w:t>Fig. 2. Overall held-out performance.</w:t>
      </w:r>
    </w:p>
    <w:p>
      <w:pPr>
        <w:jc w:val="center"/>
      </w:pPr>
      <w:r>
        <w:rPr>
          <w:b/>
          <w:sz w:val="16"/>
        </w:rPr>
        <w:t>TABLE 5. RQ1 COMPRESSION ROBUSTNESS</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tcPr>
          <w:p>
            <w:pPr>
              <w:spacing w:after="0"/>
            </w:pPr>
            <w:r>
              <w:rPr>
                <w:rFonts w:ascii="Times New Roman" w:hAnsi="Times New Roman"/>
                <w:b/>
                <w:sz w:val="15"/>
              </w:rPr>
              <w:t>Condition</w:t>
            </w:r>
          </w:p>
        </w:tc>
        <w:tc>
          <w:tcPr>
            <w:tcW w:type="dxa" w:w="1950"/>
          </w:tcPr>
          <w:p>
            <w:pPr>
              <w:spacing w:after="0"/>
            </w:pPr>
            <w:r>
              <w:rPr>
                <w:rFonts w:ascii="Times New Roman" w:hAnsi="Times New Roman"/>
                <w:b/>
                <w:sz w:val="15"/>
              </w:rPr>
              <w:t>n</w:t>
            </w:r>
          </w:p>
        </w:tc>
        <w:tc>
          <w:tcPr>
            <w:tcW w:type="dxa" w:w="1950"/>
          </w:tcPr>
          <w:p>
            <w:pPr>
              <w:spacing w:after="0"/>
            </w:pPr>
            <w:r>
              <w:rPr>
                <w:rFonts w:ascii="Times New Roman" w:hAnsi="Times New Roman"/>
                <w:b/>
                <w:sz w:val="15"/>
              </w:rPr>
              <w:t>Accuracy</w:t>
            </w:r>
          </w:p>
        </w:tc>
        <w:tc>
          <w:tcPr>
            <w:tcW w:type="dxa" w:w="1950"/>
          </w:tcPr>
          <w:p>
            <w:pPr>
              <w:spacing w:after="0"/>
            </w:pPr>
            <w:r>
              <w:rPr>
                <w:rFonts w:ascii="Times New Roman" w:hAnsi="Times New Roman"/>
                <w:b/>
                <w:sz w:val="15"/>
              </w:rPr>
              <w:t>EER</w:t>
            </w:r>
          </w:p>
        </w:tc>
        <w:tc>
          <w:tcPr>
            <w:tcW w:type="dxa" w:w="1950"/>
          </w:tcPr>
          <w:p>
            <w:pPr>
              <w:spacing w:after="0"/>
            </w:pPr>
            <w:r>
              <w:rPr>
                <w:rFonts w:ascii="Times New Roman" w:hAnsi="Times New Roman"/>
                <w:b/>
                <w:sz w:val="15"/>
              </w:rPr>
              <w:t>F1</w:t>
            </w:r>
          </w:p>
        </w:tc>
      </w:tr>
      <w:tr>
        <w:tc>
          <w:tcPr>
            <w:tcW w:type="dxa" w:w="1950"/>
          </w:tcPr>
          <w:p>
            <w:pPr>
              <w:spacing w:after="0"/>
            </w:pPr>
            <w:r>
              <w:rPr>
                <w:rFonts w:ascii="Times New Roman" w:hAnsi="Times New Roman"/>
                <w:b w:val="0"/>
                <w:sz w:val="15"/>
              </w:rPr>
              <w:t>Clean</w:t>
            </w:r>
          </w:p>
        </w:tc>
        <w:tc>
          <w:tcPr>
            <w:tcW w:type="dxa" w:w="1950"/>
          </w:tcPr>
          <w:p>
            <w:pPr>
              <w:spacing w:after="0"/>
            </w:pPr>
            <w:r>
              <w:rPr>
                <w:rFonts w:ascii="Times New Roman" w:hAnsi="Times New Roman"/>
                <w:b w:val="0"/>
                <w:sz w:val="15"/>
              </w:rPr>
              <w:t>292</w:t>
            </w:r>
          </w:p>
        </w:tc>
        <w:tc>
          <w:tcPr>
            <w:tcW w:type="dxa" w:w="1950"/>
          </w:tcPr>
          <w:p>
            <w:pPr>
              <w:spacing w:after="0"/>
            </w:pPr>
            <w:r>
              <w:rPr>
                <w:rFonts w:ascii="Times New Roman" w:hAnsi="Times New Roman"/>
                <w:b w:val="0"/>
                <w:sz w:val="15"/>
              </w:rPr>
              <w:t>93.8%</w:t>
            </w:r>
          </w:p>
        </w:tc>
        <w:tc>
          <w:tcPr>
            <w:tcW w:type="dxa" w:w="1950"/>
          </w:tcPr>
          <w:p>
            <w:pPr>
              <w:spacing w:after="0"/>
            </w:pPr>
            <w:r>
              <w:rPr>
                <w:rFonts w:ascii="Times New Roman" w:hAnsi="Times New Roman"/>
                <w:b w:val="0"/>
                <w:sz w:val="15"/>
              </w:rPr>
              <w:t>5.6%</w:t>
            </w:r>
          </w:p>
        </w:tc>
        <w:tc>
          <w:tcPr>
            <w:tcW w:type="dxa" w:w="1950"/>
          </w:tcPr>
          <w:p>
            <w:pPr>
              <w:spacing w:after="0"/>
            </w:pPr>
            <w:r>
              <w:rPr>
                <w:rFonts w:ascii="Times New Roman" w:hAnsi="Times New Roman"/>
                <w:b w:val="0"/>
                <w:sz w:val="15"/>
              </w:rPr>
              <w:t>93.5%</w:t>
            </w:r>
          </w:p>
        </w:tc>
      </w:tr>
      <w:tr>
        <w:tc>
          <w:tcPr>
            <w:tcW w:type="dxa" w:w="1950"/>
          </w:tcPr>
          <w:p>
            <w:pPr>
              <w:spacing w:after="0"/>
            </w:pPr>
            <w:r>
              <w:rPr>
                <w:rFonts w:ascii="Times New Roman" w:hAnsi="Times New Roman"/>
                <w:b w:val="0"/>
                <w:sz w:val="15"/>
              </w:rPr>
              <w:t>Opus 16 kbps</w:t>
            </w:r>
          </w:p>
        </w:tc>
        <w:tc>
          <w:tcPr>
            <w:tcW w:type="dxa" w:w="1950"/>
          </w:tcPr>
          <w:p>
            <w:pPr>
              <w:spacing w:after="0"/>
            </w:pPr>
            <w:r>
              <w:rPr>
                <w:rFonts w:ascii="Times New Roman" w:hAnsi="Times New Roman"/>
                <w:b w:val="0"/>
                <w:sz w:val="15"/>
              </w:rPr>
              <w:t>292</w:t>
            </w:r>
          </w:p>
        </w:tc>
        <w:tc>
          <w:tcPr>
            <w:tcW w:type="dxa" w:w="1950"/>
          </w:tcPr>
          <w:p>
            <w:pPr>
              <w:spacing w:after="0"/>
            </w:pPr>
            <w:r>
              <w:rPr>
                <w:rFonts w:ascii="Times New Roman" w:hAnsi="Times New Roman"/>
                <w:b w:val="0"/>
                <w:sz w:val="15"/>
              </w:rPr>
              <w:t>89.4%</w:t>
            </w:r>
          </w:p>
        </w:tc>
        <w:tc>
          <w:tcPr>
            <w:tcW w:type="dxa" w:w="1950"/>
          </w:tcPr>
          <w:p>
            <w:pPr>
              <w:spacing w:after="0"/>
            </w:pPr>
            <w:r>
              <w:rPr>
                <w:rFonts w:ascii="Times New Roman" w:hAnsi="Times New Roman"/>
                <w:b w:val="0"/>
                <w:sz w:val="15"/>
              </w:rPr>
              <w:t>7.6%</w:t>
            </w:r>
          </w:p>
        </w:tc>
        <w:tc>
          <w:tcPr>
            <w:tcW w:type="dxa" w:w="1950"/>
          </w:tcPr>
          <w:p>
            <w:pPr>
              <w:spacing w:after="0"/>
            </w:pPr>
            <w:r>
              <w:rPr>
                <w:rFonts w:ascii="Times New Roman" w:hAnsi="Times New Roman"/>
                <w:b w:val="0"/>
                <w:sz w:val="15"/>
              </w:rPr>
              <w:t>89.3%</w:t>
            </w:r>
          </w:p>
        </w:tc>
      </w:tr>
    </w:tbl>
    <w:p>
      <w:pPr>
        <w:pStyle w:val="Heading1"/>
      </w:pPr>
      <w:r>
        <w:t>5. Calibration and Cross-Lingual Findings</w:t>
      </w:r>
    </w:p>
    <w:p>
      <w:pPr>
        <w:spacing w:after="40" w:line="240" w:lineRule="auto"/>
        <w:ind w:firstLine="230"/>
        <w:jc w:val="both"/>
      </w:pPr>
      <w:r>
        <w:t>Temperature scaling was fitted only on validation logits. On the held-out distribution it slightly worsened both ECE and Brier score. This negative result is retained because accurate capstone reporting is more important than presenting calibration as universally beneficial.</w:t>
      </w:r>
    </w:p>
    <w:p>
      <w:pPr>
        <w:jc w:val="center"/>
      </w:pPr>
      <w:r>
        <w:rPr>
          <w:b/>
          <w:sz w:val="16"/>
        </w:rPr>
        <w:t>TABLE 6. RQ4 HELD-OUT CALIBRATION COMPARISON</w:t>
      </w:r>
    </w:p>
    <w:tbl>
      <w:tblPr>
        <w:tblStyle w:val="TableGrid"/>
        <w:tblW w:type="auto" w:w="0"/>
        <w:tblLook w:firstColumn="1" w:firstRow="1" w:lastColumn="0" w:lastRow="0" w:noHBand="0" w:noVBand="1" w:val="04A0"/>
      </w:tblPr>
      <w:tblGrid>
        <w:gridCol w:w="3250"/>
        <w:gridCol w:w="3250"/>
        <w:gridCol w:w="3250"/>
      </w:tblGrid>
      <w:tr>
        <w:tc>
          <w:tcPr>
            <w:tcW w:type="dxa" w:w="3250"/>
          </w:tcPr>
          <w:p>
            <w:pPr>
              <w:spacing w:after="0"/>
            </w:pPr>
            <w:r>
              <w:rPr>
                <w:rFonts w:ascii="Times New Roman" w:hAnsi="Times New Roman"/>
                <w:b/>
                <w:sz w:val="15"/>
              </w:rPr>
              <w:t>Calibration error</w:t>
            </w:r>
          </w:p>
        </w:tc>
        <w:tc>
          <w:tcPr>
            <w:tcW w:type="dxa" w:w="3250"/>
          </w:tcPr>
          <w:p>
            <w:pPr>
              <w:spacing w:after="0"/>
            </w:pPr>
            <w:r>
              <w:rPr>
                <w:rFonts w:ascii="Times New Roman" w:hAnsi="Times New Roman"/>
                <w:b/>
                <w:sz w:val="15"/>
              </w:rPr>
              <w:t>Before</w:t>
            </w:r>
          </w:p>
        </w:tc>
        <w:tc>
          <w:tcPr>
            <w:tcW w:type="dxa" w:w="3250"/>
          </w:tcPr>
          <w:p>
            <w:pPr>
              <w:spacing w:after="0"/>
            </w:pPr>
            <w:r>
              <w:rPr>
                <w:rFonts w:ascii="Times New Roman" w:hAnsi="Times New Roman"/>
                <w:b/>
                <w:sz w:val="15"/>
              </w:rPr>
              <w:t>After</w:t>
            </w:r>
          </w:p>
        </w:tc>
      </w:tr>
      <w:tr>
        <w:tc>
          <w:tcPr>
            <w:tcW w:type="dxa" w:w="3250"/>
          </w:tcPr>
          <w:p>
            <w:pPr>
              <w:spacing w:after="0"/>
            </w:pPr>
            <w:r>
              <w:rPr>
                <w:rFonts w:ascii="Times New Roman" w:hAnsi="Times New Roman"/>
                <w:b w:val="0"/>
                <w:sz w:val="15"/>
              </w:rPr>
              <w:t>ECE</w:t>
            </w:r>
          </w:p>
        </w:tc>
        <w:tc>
          <w:tcPr>
            <w:tcW w:type="dxa" w:w="3250"/>
          </w:tcPr>
          <w:p>
            <w:pPr>
              <w:spacing w:after="0"/>
            </w:pPr>
            <w:r>
              <w:rPr>
                <w:rFonts w:ascii="Times New Roman" w:hAnsi="Times New Roman"/>
                <w:b w:val="0"/>
                <w:sz w:val="15"/>
              </w:rPr>
              <w:t>0.0245</w:t>
            </w:r>
          </w:p>
        </w:tc>
        <w:tc>
          <w:tcPr>
            <w:tcW w:type="dxa" w:w="3250"/>
          </w:tcPr>
          <w:p>
            <w:pPr>
              <w:spacing w:after="0"/>
            </w:pPr>
            <w:r>
              <w:rPr>
                <w:rFonts w:ascii="Times New Roman" w:hAnsi="Times New Roman"/>
                <w:b w:val="0"/>
                <w:sz w:val="15"/>
              </w:rPr>
              <w:t>0.0260</w:t>
            </w:r>
          </w:p>
        </w:tc>
      </w:tr>
      <w:tr>
        <w:tc>
          <w:tcPr>
            <w:tcW w:type="dxa" w:w="3250"/>
          </w:tcPr>
          <w:p>
            <w:pPr>
              <w:spacing w:after="0"/>
            </w:pPr>
            <w:r>
              <w:rPr>
                <w:rFonts w:ascii="Times New Roman" w:hAnsi="Times New Roman"/>
                <w:b w:val="0"/>
                <w:sz w:val="15"/>
              </w:rPr>
              <w:t>Brier</w:t>
            </w:r>
          </w:p>
        </w:tc>
        <w:tc>
          <w:tcPr>
            <w:tcW w:type="dxa" w:w="3250"/>
          </w:tcPr>
          <w:p>
            <w:pPr>
              <w:spacing w:after="0"/>
            </w:pPr>
            <w:r>
              <w:rPr>
                <w:rFonts w:ascii="Times New Roman" w:hAnsi="Times New Roman"/>
                <w:b w:val="0"/>
                <w:sz w:val="15"/>
              </w:rPr>
              <w:t>0.0659</w:t>
            </w:r>
          </w:p>
        </w:tc>
        <w:tc>
          <w:tcPr>
            <w:tcW w:type="dxa" w:w="3250"/>
          </w:tcPr>
          <w:p>
            <w:pPr>
              <w:spacing w:after="0"/>
            </w:pPr>
            <w:r>
              <w:rPr>
                <w:rFonts w:ascii="Times New Roman" w:hAnsi="Times New Roman"/>
                <w:b w:val="0"/>
                <w:sz w:val="15"/>
              </w:rPr>
              <w:t>0.0690</w:t>
            </w:r>
          </w:p>
        </w:tc>
      </w:tr>
    </w:tbl>
    <w:p>
      <w:pPr>
        <w:jc w:val="center"/>
      </w:pPr>
      <w:r>
        <w:rPr>
          <w:b/>
          <w:sz w:val="16"/>
        </w:rPr>
        <w:t>TABLE 7. RQ3 LEAVE-ONE-LANGUAGE-OUT TRANSFER</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tcPr>
          <w:p>
            <w:pPr>
              <w:spacing w:after="0"/>
            </w:pPr>
            <w:r>
              <w:rPr>
                <w:rFonts w:ascii="Times New Roman" w:hAnsi="Times New Roman"/>
                <w:b/>
                <w:sz w:val="15"/>
              </w:rPr>
              <w:t>Unseen test language</w:t>
            </w:r>
          </w:p>
        </w:tc>
        <w:tc>
          <w:tcPr>
            <w:tcW w:type="dxa" w:w="1950"/>
          </w:tcPr>
          <w:p>
            <w:pPr>
              <w:spacing w:after="0"/>
            </w:pPr>
            <w:r>
              <w:rPr>
                <w:rFonts w:ascii="Times New Roman" w:hAnsi="Times New Roman"/>
                <w:b/>
                <w:sz w:val="15"/>
              </w:rPr>
              <w:t>n</w:t>
            </w:r>
          </w:p>
        </w:tc>
        <w:tc>
          <w:tcPr>
            <w:tcW w:type="dxa" w:w="1950"/>
          </w:tcPr>
          <w:p>
            <w:pPr>
              <w:spacing w:after="0"/>
            </w:pPr>
            <w:r>
              <w:rPr>
                <w:rFonts w:ascii="Times New Roman" w:hAnsi="Times New Roman"/>
                <w:b/>
                <w:sz w:val="15"/>
              </w:rPr>
              <w:t>Accuracy</w:t>
            </w:r>
          </w:p>
        </w:tc>
        <w:tc>
          <w:tcPr>
            <w:tcW w:type="dxa" w:w="1950"/>
          </w:tcPr>
          <w:p>
            <w:pPr>
              <w:spacing w:after="0"/>
            </w:pPr>
            <w:r>
              <w:rPr>
                <w:rFonts w:ascii="Times New Roman" w:hAnsi="Times New Roman"/>
                <w:b/>
                <w:sz w:val="15"/>
              </w:rPr>
              <w:t>EER</w:t>
            </w:r>
          </w:p>
        </w:tc>
        <w:tc>
          <w:tcPr>
            <w:tcW w:type="dxa" w:w="1950"/>
          </w:tcPr>
          <w:p>
            <w:pPr>
              <w:spacing w:after="0"/>
            </w:pPr>
            <w:r>
              <w:rPr>
                <w:rFonts w:ascii="Times New Roman" w:hAnsi="Times New Roman"/>
                <w:b/>
                <w:sz w:val="15"/>
              </w:rPr>
              <w:t>F1</w:t>
            </w:r>
          </w:p>
        </w:tc>
      </w:tr>
      <w:tr>
        <w:tc>
          <w:tcPr>
            <w:tcW w:type="dxa" w:w="1950"/>
          </w:tcPr>
          <w:p>
            <w:pPr>
              <w:spacing w:after="0"/>
            </w:pPr>
            <w:r>
              <w:rPr>
                <w:rFonts w:ascii="Times New Roman" w:hAnsi="Times New Roman"/>
                <w:b w:val="0"/>
                <w:sz w:val="15"/>
              </w:rPr>
              <w:t>Hindi</w:t>
            </w:r>
          </w:p>
        </w:tc>
        <w:tc>
          <w:tcPr>
            <w:tcW w:type="dxa" w:w="1950"/>
          </w:tcPr>
          <w:p>
            <w:pPr>
              <w:spacing w:after="0"/>
            </w:pPr>
            <w:r>
              <w:rPr>
                <w:rFonts w:ascii="Times New Roman" w:hAnsi="Times New Roman"/>
                <w:b w:val="0"/>
                <w:sz w:val="15"/>
              </w:rPr>
              <w:t>222</w:t>
            </w:r>
          </w:p>
        </w:tc>
        <w:tc>
          <w:tcPr>
            <w:tcW w:type="dxa" w:w="1950"/>
          </w:tcPr>
          <w:p>
            <w:pPr>
              <w:spacing w:after="0"/>
            </w:pPr>
            <w:r>
              <w:rPr>
                <w:rFonts w:ascii="Times New Roman" w:hAnsi="Times New Roman"/>
                <w:b w:val="0"/>
                <w:sz w:val="15"/>
              </w:rPr>
              <w:t>78.8%</w:t>
            </w:r>
          </w:p>
        </w:tc>
        <w:tc>
          <w:tcPr>
            <w:tcW w:type="dxa" w:w="1950"/>
          </w:tcPr>
          <w:p>
            <w:pPr>
              <w:spacing w:after="0"/>
            </w:pPr>
            <w:r>
              <w:rPr>
                <w:rFonts w:ascii="Times New Roman" w:hAnsi="Times New Roman"/>
                <w:b w:val="0"/>
                <w:sz w:val="15"/>
              </w:rPr>
              <w:t>21.8%</w:t>
            </w:r>
          </w:p>
        </w:tc>
        <w:tc>
          <w:tcPr>
            <w:tcW w:type="dxa" w:w="1950"/>
          </w:tcPr>
          <w:p>
            <w:pPr>
              <w:spacing w:after="0"/>
            </w:pPr>
            <w:r>
              <w:rPr>
                <w:rFonts w:ascii="Times New Roman" w:hAnsi="Times New Roman"/>
                <w:b w:val="0"/>
                <w:sz w:val="15"/>
              </w:rPr>
              <w:t>72.5%</w:t>
            </w:r>
          </w:p>
        </w:tc>
      </w:tr>
      <w:tr>
        <w:tc>
          <w:tcPr>
            <w:tcW w:type="dxa" w:w="1950"/>
          </w:tcPr>
          <w:p>
            <w:pPr>
              <w:spacing w:after="0"/>
            </w:pPr>
            <w:r>
              <w:rPr>
                <w:rFonts w:ascii="Times New Roman" w:hAnsi="Times New Roman"/>
                <w:b w:val="0"/>
                <w:sz w:val="15"/>
              </w:rPr>
              <w:t>Marathi</w:t>
            </w:r>
          </w:p>
        </w:tc>
        <w:tc>
          <w:tcPr>
            <w:tcW w:type="dxa" w:w="1950"/>
          </w:tcPr>
          <w:p>
            <w:pPr>
              <w:spacing w:after="0"/>
            </w:pPr>
            <w:r>
              <w:rPr>
                <w:rFonts w:ascii="Times New Roman" w:hAnsi="Times New Roman"/>
                <w:b w:val="0"/>
                <w:sz w:val="15"/>
              </w:rPr>
              <w:t>164</w:t>
            </w:r>
          </w:p>
        </w:tc>
        <w:tc>
          <w:tcPr>
            <w:tcW w:type="dxa" w:w="1950"/>
          </w:tcPr>
          <w:p>
            <w:pPr>
              <w:spacing w:after="0"/>
            </w:pPr>
            <w:r>
              <w:rPr>
                <w:rFonts w:ascii="Times New Roman" w:hAnsi="Times New Roman"/>
                <w:b w:val="0"/>
                <w:sz w:val="15"/>
              </w:rPr>
              <w:t>93.3%</w:t>
            </w:r>
          </w:p>
        </w:tc>
        <w:tc>
          <w:tcPr>
            <w:tcW w:type="dxa" w:w="1950"/>
          </w:tcPr>
          <w:p>
            <w:pPr>
              <w:spacing w:after="0"/>
            </w:pPr>
            <w:r>
              <w:rPr>
                <w:rFonts w:ascii="Times New Roman" w:hAnsi="Times New Roman"/>
                <w:b w:val="0"/>
                <w:sz w:val="15"/>
              </w:rPr>
              <w:t>7.1%</w:t>
            </w:r>
          </w:p>
        </w:tc>
        <w:tc>
          <w:tcPr>
            <w:tcW w:type="dxa" w:w="1950"/>
          </w:tcPr>
          <w:p>
            <w:pPr>
              <w:spacing w:after="0"/>
            </w:pPr>
            <w:r>
              <w:rPr>
                <w:rFonts w:ascii="Times New Roman" w:hAnsi="Times New Roman"/>
                <w:b w:val="0"/>
                <w:sz w:val="15"/>
              </w:rPr>
              <w:t>95.2%</w:t>
            </w:r>
          </w:p>
        </w:tc>
      </w:tr>
      <w:tr>
        <w:tc>
          <w:tcPr>
            <w:tcW w:type="dxa" w:w="1950"/>
          </w:tcPr>
          <w:p>
            <w:pPr>
              <w:spacing w:after="0"/>
            </w:pPr>
            <w:r>
              <w:rPr>
                <w:rFonts w:ascii="Times New Roman" w:hAnsi="Times New Roman"/>
                <w:b w:val="0"/>
                <w:sz w:val="15"/>
              </w:rPr>
              <w:t>Tamil</w:t>
            </w:r>
          </w:p>
        </w:tc>
        <w:tc>
          <w:tcPr>
            <w:tcW w:type="dxa" w:w="1950"/>
          </w:tcPr>
          <w:p>
            <w:pPr>
              <w:spacing w:after="0"/>
            </w:pPr>
            <w:r>
              <w:rPr>
                <w:rFonts w:ascii="Times New Roman" w:hAnsi="Times New Roman"/>
                <w:b w:val="0"/>
                <w:sz w:val="15"/>
              </w:rPr>
              <w:t>198</w:t>
            </w:r>
          </w:p>
        </w:tc>
        <w:tc>
          <w:tcPr>
            <w:tcW w:type="dxa" w:w="1950"/>
          </w:tcPr>
          <w:p>
            <w:pPr>
              <w:spacing w:after="0"/>
            </w:pPr>
            <w:r>
              <w:rPr>
                <w:rFonts w:ascii="Times New Roman" w:hAnsi="Times New Roman"/>
                <w:b w:val="0"/>
                <w:sz w:val="15"/>
              </w:rPr>
              <w:t>93.9%</w:t>
            </w:r>
          </w:p>
        </w:tc>
        <w:tc>
          <w:tcPr>
            <w:tcW w:type="dxa" w:w="1950"/>
          </w:tcPr>
          <w:p>
            <w:pPr>
              <w:spacing w:after="0"/>
            </w:pPr>
            <w:r>
              <w:rPr>
                <w:rFonts w:ascii="Times New Roman" w:hAnsi="Times New Roman"/>
                <w:b w:val="0"/>
                <w:sz w:val="15"/>
              </w:rPr>
              <w:t>6.3%</w:t>
            </w:r>
          </w:p>
        </w:tc>
        <w:tc>
          <w:tcPr>
            <w:tcW w:type="dxa" w:w="1950"/>
          </w:tcPr>
          <w:p>
            <w:pPr>
              <w:spacing w:after="0"/>
            </w:pPr>
            <w:r>
              <w:rPr>
                <w:rFonts w:ascii="Times New Roman" w:hAnsi="Times New Roman"/>
                <w:b w:val="0"/>
                <w:sz w:val="15"/>
              </w:rPr>
              <w:t>92.2%</w:t>
            </w:r>
          </w:p>
        </w:tc>
      </w:tr>
    </w:tbl>
    <w:p>
      <w:pPr>
        <w:pStyle w:val="Heading1"/>
      </w:pPr>
      <w:r>
        <w:t>6. Research Question Status</w:t>
      </w:r>
    </w:p>
    <w:p>
      <w:pPr>
        <w:jc w:val="center"/>
      </w:pPr>
      <w:r>
        <w:rPr>
          <w:b/>
          <w:sz w:val="16"/>
        </w:rPr>
        <w:t>TABLE 8. HONEST RESEARCH-QUESTION STATUS</w:t>
      </w:r>
    </w:p>
    <w:tbl>
      <w:tblPr>
        <w:tblStyle w:val="TableGrid"/>
        <w:tblW w:type="auto" w:w="0"/>
        <w:tblLook w:firstColumn="1" w:firstRow="1" w:lastColumn="0" w:lastRow="0" w:noHBand="0" w:noVBand="1" w:val="04A0"/>
      </w:tblPr>
      <w:tblGrid>
        <w:gridCol w:w="3250"/>
        <w:gridCol w:w="3250"/>
        <w:gridCol w:w="3250"/>
      </w:tblGrid>
      <w:tr>
        <w:tc>
          <w:tcPr>
            <w:tcW w:type="dxa" w:w="3250"/>
          </w:tcPr>
          <w:p>
            <w:pPr>
              <w:spacing w:after="0"/>
            </w:pPr>
            <w:r>
              <w:rPr>
                <w:rFonts w:ascii="Times New Roman" w:hAnsi="Times New Roman"/>
                <w:b/>
                <w:sz w:val="15"/>
              </w:rPr>
              <w:t>RQ</w:t>
            </w:r>
          </w:p>
        </w:tc>
        <w:tc>
          <w:tcPr>
            <w:tcW w:type="dxa" w:w="3250"/>
          </w:tcPr>
          <w:p>
            <w:pPr>
              <w:spacing w:after="0"/>
            </w:pPr>
            <w:r>
              <w:rPr>
                <w:rFonts w:ascii="Times New Roman" w:hAnsi="Times New Roman"/>
                <w:b/>
                <w:sz w:val="15"/>
              </w:rPr>
              <w:t>Status</w:t>
            </w:r>
          </w:p>
        </w:tc>
        <w:tc>
          <w:tcPr>
            <w:tcW w:type="dxa" w:w="3250"/>
          </w:tcPr>
          <w:p>
            <w:pPr>
              <w:spacing w:after="0"/>
            </w:pPr>
            <w:r>
              <w:rPr>
                <w:rFonts w:ascii="Times New Roman" w:hAnsi="Times New Roman"/>
                <w:b/>
                <w:sz w:val="15"/>
              </w:rPr>
              <w:t>Current evidence</w:t>
            </w:r>
          </w:p>
        </w:tc>
      </w:tr>
      <w:tr>
        <w:tc>
          <w:tcPr>
            <w:tcW w:type="dxa" w:w="3250"/>
          </w:tcPr>
          <w:p>
            <w:pPr>
              <w:spacing w:after="0"/>
            </w:pPr>
            <w:r>
              <w:rPr>
                <w:rFonts w:ascii="Times New Roman" w:hAnsi="Times New Roman"/>
                <w:b w:val="0"/>
                <w:sz w:val="15"/>
              </w:rPr>
              <w:t>RQ1</w:t>
            </w:r>
          </w:p>
        </w:tc>
        <w:tc>
          <w:tcPr>
            <w:tcW w:type="dxa" w:w="3250"/>
          </w:tcPr>
          <w:p>
            <w:pPr>
              <w:spacing w:after="0"/>
            </w:pPr>
            <w:r>
              <w:rPr>
                <w:rFonts w:ascii="Times New Roman" w:hAnsi="Times New Roman"/>
                <w:b w:val="0"/>
                <w:sz w:val="15"/>
              </w:rPr>
              <w:t>Measured</w:t>
            </w:r>
          </w:p>
        </w:tc>
        <w:tc>
          <w:tcPr>
            <w:tcW w:type="dxa" w:w="3250"/>
          </w:tcPr>
          <w:p>
            <w:pPr>
              <w:spacing w:after="0"/>
            </w:pPr>
            <w:r>
              <w:rPr>
                <w:rFonts w:ascii="Times New Roman" w:hAnsi="Times New Roman"/>
                <w:b w:val="0"/>
                <w:sz w:val="15"/>
              </w:rPr>
              <w:t>Clean versus paired Opus test metrics</w:t>
            </w:r>
          </w:p>
        </w:tc>
      </w:tr>
      <w:tr>
        <w:tc>
          <w:tcPr>
            <w:tcW w:type="dxa" w:w="3250"/>
          </w:tcPr>
          <w:p>
            <w:pPr>
              <w:spacing w:after="0"/>
            </w:pPr>
            <w:r>
              <w:rPr>
                <w:rFonts w:ascii="Times New Roman" w:hAnsi="Times New Roman"/>
                <w:b w:val="0"/>
                <w:sz w:val="15"/>
              </w:rPr>
              <w:t>RQ2</w:t>
            </w:r>
          </w:p>
        </w:tc>
        <w:tc>
          <w:tcPr>
            <w:tcW w:type="dxa" w:w="3250"/>
          </w:tcPr>
          <w:p>
            <w:pPr>
              <w:spacing w:after="0"/>
            </w:pPr>
            <w:r>
              <w:rPr>
                <w:rFonts w:ascii="Times New Roman" w:hAnsi="Times New Roman"/>
                <w:b w:val="0"/>
                <w:sz w:val="15"/>
              </w:rPr>
              <w:t>Pending</w:t>
            </w:r>
          </w:p>
        </w:tc>
        <w:tc>
          <w:tcPr>
            <w:tcW w:type="dxa" w:w="3250"/>
          </w:tcPr>
          <w:p>
            <w:pPr>
              <w:spacing w:after="0"/>
            </w:pPr>
            <w:r>
              <w:rPr>
                <w:rFonts w:ascii="Times New Roman" w:hAnsi="Times New Roman"/>
                <w:b w:val="0"/>
                <w:sz w:val="15"/>
              </w:rPr>
              <w:t>English-only control checkpoint not yet run</w:t>
            </w:r>
          </w:p>
        </w:tc>
      </w:tr>
      <w:tr>
        <w:tc>
          <w:tcPr>
            <w:tcW w:type="dxa" w:w="3250"/>
          </w:tcPr>
          <w:p>
            <w:pPr>
              <w:spacing w:after="0"/>
            </w:pPr>
            <w:r>
              <w:rPr>
                <w:rFonts w:ascii="Times New Roman" w:hAnsi="Times New Roman"/>
                <w:b w:val="0"/>
                <w:sz w:val="15"/>
              </w:rPr>
              <w:t>RQ3</w:t>
            </w:r>
          </w:p>
        </w:tc>
        <w:tc>
          <w:tcPr>
            <w:tcW w:type="dxa" w:w="3250"/>
          </w:tcPr>
          <w:p>
            <w:pPr>
              <w:spacing w:after="0"/>
            </w:pPr>
            <w:r>
              <w:rPr>
                <w:rFonts w:ascii="Times New Roman" w:hAnsi="Times New Roman"/>
                <w:b w:val="0"/>
                <w:sz w:val="15"/>
              </w:rPr>
              <w:t>Measured</w:t>
            </w:r>
          </w:p>
        </w:tc>
        <w:tc>
          <w:tcPr>
            <w:tcW w:type="dxa" w:w="3250"/>
          </w:tcPr>
          <w:p>
            <w:pPr>
              <w:spacing w:after="0"/>
            </w:pPr>
            <w:r>
              <w:rPr>
                <w:rFonts w:ascii="Times New Roman" w:hAnsi="Times New Roman"/>
                <w:b w:val="0"/>
                <w:sz w:val="15"/>
              </w:rPr>
              <w:t>Three leave-one-language-out runs</w:t>
            </w:r>
          </w:p>
        </w:tc>
      </w:tr>
      <w:tr>
        <w:tc>
          <w:tcPr>
            <w:tcW w:type="dxa" w:w="3250"/>
          </w:tcPr>
          <w:p>
            <w:pPr>
              <w:spacing w:after="0"/>
            </w:pPr>
            <w:r>
              <w:rPr>
                <w:rFonts w:ascii="Times New Roman" w:hAnsi="Times New Roman"/>
                <w:b w:val="0"/>
                <w:sz w:val="15"/>
              </w:rPr>
              <w:t>RQ4</w:t>
            </w:r>
          </w:p>
        </w:tc>
        <w:tc>
          <w:tcPr>
            <w:tcW w:type="dxa" w:w="3250"/>
          </w:tcPr>
          <w:p>
            <w:pPr>
              <w:spacing w:after="0"/>
            </w:pPr>
            <w:r>
              <w:rPr>
                <w:rFonts w:ascii="Times New Roman" w:hAnsi="Times New Roman"/>
                <w:b w:val="0"/>
                <w:sz w:val="15"/>
              </w:rPr>
              <w:t>Measured</w:t>
            </w:r>
          </w:p>
        </w:tc>
        <w:tc>
          <w:tcPr>
            <w:tcW w:type="dxa" w:w="3250"/>
          </w:tcPr>
          <w:p>
            <w:pPr>
              <w:spacing w:after="0"/>
            </w:pPr>
            <w:r>
              <w:rPr>
                <w:rFonts w:ascii="Times New Roman" w:hAnsi="Times New Roman"/>
                <w:b w:val="0"/>
                <w:sz w:val="15"/>
              </w:rPr>
              <w:t>Validation-fitted pre/post calibration</w:t>
            </w:r>
          </w:p>
        </w:tc>
      </w:tr>
      <w:tr>
        <w:tc>
          <w:tcPr>
            <w:tcW w:type="dxa" w:w="3250"/>
          </w:tcPr>
          <w:p>
            <w:pPr>
              <w:spacing w:after="0"/>
            </w:pPr>
            <w:r>
              <w:rPr>
                <w:rFonts w:ascii="Times New Roman" w:hAnsi="Times New Roman"/>
                <w:b w:val="0"/>
                <w:sz w:val="15"/>
              </w:rPr>
              <w:t>RQ5</w:t>
            </w:r>
          </w:p>
        </w:tc>
        <w:tc>
          <w:tcPr>
            <w:tcW w:type="dxa" w:w="3250"/>
          </w:tcPr>
          <w:p>
            <w:pPr>
              <w:spacing w:after="0"/>
            </w:pPr>
            <w:r>
              <w:rPr>
                <w:rFonts w:ascii="Times New Roman" w:hAnsi="Times New Roman"/>
                <w:b w:val="0"/>
                <w:sz w:val="15"/>
              </w:rPr>
              <w:t>Protocol ready</w:t>
            </w:r>
          </w:p>
        </w:tc>
        <w:tc>
          <w:tcPr>
            <w:tcW w:type="dxa" w:w="3250"/>
          </w:tcPr>
          <w:p>
            <w:pPr>
              <w:spacing w:after="0"/>
            </w:pPr>
            <w:r>
              <w:rPr>
                <w:rFonts w:ascii="Times New Roman" w:hAnsi="Times New Roman"/>
                <w:b w:val="0"/>
                <w:sz w:val="15"/>
              </w:rPr>
              <w:t>Participant responses N=0; no result claimed</w:t>
            </w:r>
          </w:p>
        </w:tc>
      </w:tr>
    </w:tbl>
    <w:p>
      <w:pPr>
        <w:pStyle w:val="Heading1"/>
      </w:pPr>
      <w:r>
        <w:t>7. Remaining Final-Phase Work</w:t>
      </w:r>
    </w:p>
    <w:p>
      <w:pPr>
        <w:pStyle w:val="ListBullet"/>
      </w:pPr>
      <w:r>
        <w:t>Run the frozen XLS-R research front-end and detector baseline matrix.</w:t>
      </w:r>
    </w:p>
    <w:p>
      <w:pPr>
        <w:pStyle w:val="ListBullet"/>
      </w:pPr>
      <w:r>
        <w:t>Add the English-only RQ2 control using a licensed English benchmark.</w:t>
      </w:r>
    </w:p>
    <w:p>
      <w:pPr>
        <w:pStyle w:val="ListBullet"/>
      </w:pPr>
      <w:r>
        <w:t>Expand attack diversity beyond one published synthetic source.</w:t>
      </w:r>
    </w:p>
    <w:p>
      <w:pPr>
        <w:pStyle w:val="ListBullet"/>
      </w:pPr>
      <w:r>
        <w:t>Recruit eligible listeners and complete the approved RQ5 protocol.</w:t>
      </w:r>
    </w:p>
    <w:p>
      <w:pPr>
        <w:pStyle w:val="ListBullet"/>
      </w:pPr>
      <w:r>
        <w:t>Freeze result CSVs, repeat confidence intervals, and prepare the final paper.</w:t>
      </w:r>
    </w:p>
    <w:p>
      <w:pPr>
        <w:pStyle w:val="Heading1"/>
      </w:pPr>
      <w:r>
        <w:t>8. Mid-Term Demonstration Readiness</w:t>
      </w:r>
    </w:p>
    <w:p>
      <w:pPr>
        <w:spacing w:after="40" w:line="240" w:lineRule="auto"/>
        <w:ind w:firstLine="230"/>
        <w:jc w:val="both"/>
      </w:pPr>
      <w:r>
        <w:t>The live system can demonstrate upload inference, microphone streaming, dataset provenance, compression-aware metrics, calibration plots, explainability artefacts, experiment records, and API documentation. The master report and IEEE-style paper use persisted metrics rather than manually copied values.</w:t>
      </w:r>
    </w:p>
    <w:p>
      <w:pPr>
        <w:pStyle w:val="Heading1"/>
      </w:pPr>
      <w:r>
        <w:t>9. Submission Checklist</w:t>
      </w:r>
    </w:p>
    <w:p>
      <w:r>
        <w:t>? Master project DOCX generated and package-verified.</w:t>
      </w:r>
    </w:p>
    <w:p>
      <w:r>
        <w:t>? IEEE-style hard-copy paper generated and package-verified.</w:t>
      </w:r>
    </w:p>
    <w:p>
      <w:r>
        <w:t>? Mid-term progress report generated from the same training report.</w:t>
      </w:r>
    </w:p>
    <w:p>
      <w:r>
        <w:t>? All chart source PNGs have automated blank/crop margin checks.</w:t>
      </w:r>
    </w:p>
    <w:p>
      <w:r>
        <w:t>? Human-study claims remain explicitly N=0 until responses exist.</w:t>
      </w:r>
    </w:p>
    <w:p>
      <w:r>
        <w:t>? Team must bring a laptop, charger, backup copy, and printed hard copies.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