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VaaniQ: Cross-Lingual, Compression-Robust Detection and Calibrated Reliability Estimation for AI-Generated Voice in Indian Languages</w:t>
      </w:r>
    </w:p>
    <w:p>
      <w:pPr>
        <w:jc w:val="center"/>
      </w:pPr>
      <w:r>
        <w:t>Gaurav Phadale, Eshaan Sarkhawas, Aarav Phutane, Prajwal Patil</w:t>
        <w:br/>
        <w:t>Mukesh Patel School of Technology Management &amp; Engineering, NMIMS</w:t>
        <w:br/>
        <w:t>Faculty Guide: Prof. Rama Bharti Varshney</w:t>
      </w:r>
    </w:p>
    <w:p>
      <w:pPr>
        <w:jc w:val="center"/>
      </w:pPr>
      <w:r>
        <w:rPr>
          <w:i/>
          <w:sz w:val="16"/>
        </w:rPr>
        <w:t>IEEE archival draft — frozen Round 3 evidence at commit 084bd47ca6ca1b69a7cdbf424e2946f3794c2a95. RQ1–RQ4 complete on the bounded machine-evaluated benchmark.</w:t>
      </w:r>
    </w:p>
    <w:p>
      <w:pPr>
        <w:jc w:val="both"/>
      </w:pPr>
      <w:r>
        <w:rPr>
          <w:b/>
        </w:rPr>
        <w:t>Abstract—</w:t>
      </w:r>
      <w:r>
        <w:t>Voice cloning enables scalable audio fraud, yet anti-spoofing evidence remains concentrated in English/Mandarin and rarely couples Indian-language stimuli with messaging-style compression, confidence calibration, and cross-lingual transfer. VaaniQ builds a bounded speaker-disjoint benchmark for Hindi, Marathi, and Tamil (Kathbath real; IndicSynth fake) and evaluates detection under clean audio and WhatsApp-style 16 kbps Opus simulation. On 584 held-out instances, an acoustic AASIST-compatible head reaches 91.61% accuracy and 6.56% EER; frozen wav2vec2-xls-r-300m reaches 92.12% accuracy, 6.88% EER, and 0.9828 ROC-AUC. Compression effects are model-dependent; English-only transfer collapses; leave-one-language-out transfer is asymmetric; validation-selected calibration does not uniformly improve held-out ECE. Benchmark V2 remains a partial external-source pilot, so claims are restricted to the declared machine-evaluated corpus and attack sources.</w:t>
      </w:r>
    </w:p>
    <w:p>
      <w:pPr>
        <w:jc w:val="both"/>
      </w:pPr>
      <w:r>
        <w:rPr>
          <w:b/>
        </w:rPr>
        <w:t>Index Terms—</w:t>
      </w:r>
      <w:r>
        <w:t>audio deepfake detection, Indian languages, Kathbath, IndicSynth, Opus compression, calibration, XLS-R, speaker-disjoint evaluation, cross-lingual transfer</w:t>
      </w: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I. INTRODUCTION</w:t>
      </w:r>
    </w:p>
    <w:p>
      <w:pPr>
        <w:spacing w:after="40" w:line="240" w:lineRule="auto"/>
        <w:ind w:firstLine="230"/>
        <w:jc w:val="both"/>
      </w:pPr>
      <w:r>
        <w:t>Neural voice cloning can imitate speakers from short enrollments and can be delivered as compressed chat audio. Major anti-spoofing benchmarks remain concentrated in English or Mandarin. VaaniQ studies Hindi, Marathi, and Tamil on a bounded speaker-disjoint benchmark and measures codec shift, cross-lingual transfer, and confidence calibration. It does not claim universal fake-voice detection. Telugu is out of project scope.</w:t>
      </w:r>
    </w:p>
    <w:p>
      <w:pPr>
        <w:spacing w:after="40" w:line="240" w:lineRule="auto"/>
        <w:ind w:firstLine="230"/>
        <w:jc w:val="both"/>
      </w:pPr>
      <w:r>
        <w:t>Contributions: (1) a versioned V1 publication corpus with paired Opus twins and held-out n=584; (2) complete RQ1–RQ4 results including negative calibration transfer and catastrophic English→Indic transfer retained honestly; (3) a reproducible research stack with frozen manifests and automated validation. Non-claims: not the first Indic detector; V1 source–label confounding is disclosed.</w:t>
      </w:r>
    </w:p>
    <w:p>
      <w:pPr>
        <w:spacing w:after="40" w:line="240" w:lineRule="auto"/>
        <w:ind w:firstLine="230"/>
        <w:jc w:val="both"/>
      </w:pPr>
      <w:r>
        <w:t>RQ1: Opus compression effects? RQ2: English-only versus multilingual transfer? RQ3: unseen-language (LOLO) generalisation? RQ4: validation-selected calibration under shift? RQ1–RQ4 are complete on the bounded benchmark.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II. RELATED WORK AND COMPARATIVE STUDY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A. Literature Axes</w:t>
      </w:r>
    </w:p>
    <w:p>
      <w:pPr>
        <w:spacing w:after="40" w:line="240" w:lineRule="auto"/>
        <w:ind w:firstLine="230"/>
        <w:jc w:val="both"/>
      </w:pPr>
      <w:r>
        <w:t>AASIST integrates spectro-temporal graph attention for anti-spoofing [1]. XLS-R provides cross-lingual self-supervised speech representations [2]. IndicSUPERB/Kathbath [3],[6] and IndicSynth [4],[7] supply Indic real and synthetic speech. Pascu et al. study calibrated SSL deepfake detection without Indian languages or an isolated WhatsApp-Opus cell [5]. FLEURS supports cross-lingual evaluation [8]. Opus is defined in RFC 6716 [9]. ASVspoof 2019 LA remains the English control resource [10]. Indic-CodecFake/SATYAM targets codec synthesis—a different attack surface than messaging-style Opus transport of cloning/TTS fraud audio—and does not couple Opus isolation with calibration analysis.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B. Feature Comparison Across Related Work</w:t>
      </w:r>
    </w:p>
    <w:p>
      <w:pPr>
        <w:spacing w:after="40" w:line="240" w:lineRule="auto"/>
        <w:ind w:firstLine="230"/>
        <w:jc w:val="both"/>
      </w:pPr>
      <w:r>
        <w:t>Cross-paper EER comparison is invalid under mismatched corpora. Table II compares evaluation axes only. VaaniQ does not claim to be first at Indic detection or calibration; the defensible contribution is their combination with isolated Opus and cross-lingual evaluation (proposal §5.7).</w:t>
      </w:r>
    </w:p>
    <w:p>
      <w:pPr>
        <w:spacing w:after="40" w:line="240" w:lineRule="auto"/>
        <w:ind w:firstLine="230"/>
        <w:jc w:val="both"/>
      </w:pPr>
      <w:r>
        <w:t>Axis summary: ASVspoof+AASIST supplies the non-Indic architecture benchmark; Pascu et al. supply calibration precedent without an isolated Opus cell; IndicSynth supplies Indic synthetic data; SATYAM studies codec synthesis rather than Opus transport; VaaniQ combines hi/mr/ta, a 16 kbps Opus cell, calibration, and LOLO evaluation.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C. Same-Test Empirical Comparison (n=584)</w:t>
      </w:r>
    </w:p>
    <w:p>
      <w:pPr>
        <w:spacing w:after="40" w:line="240" w:lineRule="auto"/>
        <w:ind w:firstLine="230"/>
        <w:jc w:val="both"/>
      </w:pPr>
      <w:r>
        <w:t>All systems below share identical V1 held-out clips, labels, threshold 0.5, and score contract—the only fair numeric comparison in this paper. Matching 54.79% accuracy for LFCC-GMM and RawNet2-style at threshold 0.5 is a documented coincidence; EER and ROC-AUC differ materially. Faithful RawNet2 remains PENDING.</w:t>
      </w:r>
    </w:p>
    <w:p>
      <w:pPr>
        <w:jc w:val="center"/>
      </w:pPr>
      <w:r>
        <w:rPr>
          <w:b/>
          <w:sz w:val="16"/>
        </w:rPr>
        <w:t>TABLE I. COMPARATIVE STUDY — SAME VAANIQ V1 TEST</w:t>
      </w:r>
    </w:p>
    <w:tbl>
      <w:tblPr>
        <w:tblStyle w:val="TableGrid"/>
        <w:tblW w:type="dxa" w:w="4536"/>
        <w:tblLayout w:type="fixed"/>
        <w:tblLook w:firstColumn="1" w:firstRow="1" w:lastColumn="0" w:lastRow="0" w:noHBand="0" w:noVBand="1" w:val="04A0"/>
      </w:tblPr>
      <w:tblGrid>
        <w:gridCol w:w="1656"/>
        <w:gridCol w:w="1440"/>
        <w:gridCol w:w="1440"/>
      </w:tblGrid>
      <w:tr>
        <w:trPr>
          <w:tblHeader w:val="true"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Model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Acc / EER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AUC / min-DCF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LFCC-GMM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54.79% / 23.48%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0.8195 / 0.4962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RawNet2-style approx.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54.79% / 43.18%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0.5845 / 0.9621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Acoustic AASIST-comp.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91.61% / 6.56%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0.9729 / 0.7841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Frozen XLS-R + head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92.12% / 6.88%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0.9828 / 0.3144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English-only control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54.79% / 76.56%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0.162 / —</w:t>
            </w:r>
          </w:p>
        </w:tc>
      </w:tr>
    </w:tbl>
    <w:p>
      <w:pPr>
        <w:spacing w:before="60" w:after="20"/>
      </w:pPr>
      <w:r>
        <w:rPr>
          <w:rFonts w:ascii="Times New Roman" w:hAnsi="Times New Roman"/>
          <w:i/>
          <w:sz w:val="20"/>
        </w:rPr>
        <w:t>D. In-Domain versus Leave-One-Language-Out</w:t>
      </w:r>
    </w:p>
    <w:p>
      <w:pPr>
        <w:jc w:val="center"/>
      </w:pPr>
      <w:r>
        <w:rPr>
          <w:b/>
          <w:sz w:val="16"/>
        </w:rPr>
        <w:t>TABLE II. COMPARATIVE VIEW — IN-DOMAIN VS LOLO</w:t>
      </w:r>
    </w:p>
    <w:tbl>
      <w:tblPr>
        <w:tblStyle w:val="TableGrid"/>
        <w:tblW w:type="dxa" w:w="4536"/>
        <w:tblLayout w:type="fixed"/>
        <w:tblLook w:firstColumn="1" w:firstRow="1" w:lastColumn="0" w:lastRow="0" w:noHBand="0" w:noVBand="1" w:val="04A0"/>
      </w:tblPr>
      <w:tblGrid>
        <w:gridCol w:w="1656"/>
        <w:gridCol w:w="1440"/>
        <w:gridCol w:w="1440"/>
      </w:tblGrid>
      <w:tr>
        <w:trPr>
          <w:tblHeader w:val="true"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Language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In-domain Acc / EER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LOLO Acc / EER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Hindi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90.99% / 7.04%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78.83% / 21.83%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Marathi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93.29% / 6.25%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93.29% / 7.14%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Tamil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90.91% / 7.14%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93.94% / 6.35%</w:t>
            </w:r>
          </w:p>
        </w:tc>
      </w:tr>
    </w:tbl>
    <w:p>
      <w:pPr>
        <w:spacing w:after="40" w:line="240" w:lineRule="auto"/>
        <w:ind w:firstLine="230"/>
        <w:jc w:val="both"/>
      </w:pPr>
      <w:r>
        <w:t>Hindi zero-shot collapse (90.99% in-domain → 78.83% LOLO) is the standout RQ3 finding and caution against treating Indian languages as a homogeneous transfer class.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III. DATASET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A. Bounded V1 Benchmark</w:t>
      </w:r>
    </w:p>
    <w:p>
      <w:pPr>
        <w:spacing w:after="40" w:line="240" w:lineRule="auto"/>
        <w:ind w:firstLine="230"/>
        <w:jc w:val="both"/>
      </w:pPr>
      <w:r>
        <w:t>The persisted source subset contains 1800 original clips (3.15 h): 900 Kathbath REAL and 900 IndicSynth FAKE, balanced across Hindi, Marathi, and Tamil. Paired validation/test 16 kbps libopus twins expand evaluation to 2,346 instances. Held-out test n=584. Bonafide clips follow Kathbath packaging terms; generated clips follow IndicSynth CC BY-NC 4.0 for non-commercial academic research.</w:t>
      </w:r>
    </w:p>
    <w:p>
      <w:pPr>
        <w:spacing w:after="40" w:line="240" w:lineRule="auto"/>
        <w:ind w:firstLine="230"/>
        <w:jc w:val="both"/>
      </w:pPr>
      <w:r>
        <w:t>V1 has a structural weakness: REAL equals Kathbath and FAKE equals IndicSynth. Source identity is therefore associated with class. Speaker-disjoint splitting protects against speaker leakage but does not remove source-domain shortcuts.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B. Partial V2 External-Source Pilot</w:t>
      </w:r>
    </w:p>
    <w:p>
      <w:pPr>
        <w:spacing w:after="40" w:line="240" w:lineRule="auto"/>
        <w:ind w:firstLine="230"/>
        <w:jc w:val="both"/>
      </w:pPr>
      <w:r>
        <w:t>Benchmark V2 is a partial external-source pilot. It adds an independent real-speech source but does not eliminate source-label confounding. Current cells include Kathbath×real, IndicSynth×fake, and FLEURS×real. Generator-disjoint evaluation has n=0 and remains PENDING.</w:t>
      </w:r>
    </w:p>
    <w:p>
      <w:pPr>
        <w:jc w:val="center"/>
      </w:pPr>
      <w:r>
        <w:rPr>
          <w:b/>
          <w:sz w:val="16"/>
        </w:rPr>
        <w:t>TABLE III. DATASET COMPOSITION</w:t>
      </w:r>
    </w:p>
    <w:tbl>
      <w:tblPr>
        <w:tblStyle w:val="TableGrid"/>
        <w:tblW w:type="dxa" w:w="4536"/>
        <w:tblLayout w:type="fixed"/>
        <w:tblLook w:firstColumn="1" w:firstRow="1" w:lastColumn="0" w:lastRow="0" w:noHBand="0" w:noVBand="1" w:val="04A0"/>
      </w:tblPr>
      <w:tblGrid>
        <w:gridCol w:w="1656"/>
        <w:gridCol w:w="1440"/>
        <w:gridCol w:w="1440"/>
      </w:tblGrid>
      <w:tr>
        <w:trPr>
          <w:tblHeader w:val="true"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Benchmark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Source / Class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Count / Status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Kathbath / REAL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900 / COMPLETE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IndicSynth / FAKE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900 / COMPLETE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Kathbath / REAL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1,177 / PARTIAL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IndicSynth / FAKE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1,169 / PARTIAL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FLEURS / REAL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50 / PARTIAL</w:t>
            </w:r>
          </w:p>
        </w:tc>
      </w:tr>
    </w:tbl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IV. METHODOLOGY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1560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560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1. VaaniQ architecture: preprocess → acoustic or frozen XLS-R → head → calibration.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A. Acoustic Baseline V1</w:t>
      </w:r>
    </w:p>
    <w:p>
      <w:pPr>
        <w:spacing w:after="40" w:line="240" w:lineRule="auto"/>
        <w:ind w:firstLine="230"/>
        <w:jc w:val="both"/>
      </w:pPr>
      <w:r>
        <w:t>Baseline V1 uses a deterministic 1024-D acoustic embedding and an AASIST-compatible NumPy classification head. It is not canonical AASIST and not XLS-R. Decision threshold 0.5 on the fake softmax score. Label 0=REAL, 1=FAKE; higher score_fake means more fake.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B. Frozen XLS-R Main</w:t>
      </w:r>
    </w:p>
    <w:p>
      <w:pPr>
        <w:spacing w:after="40" w:line="240" w:lineRule="auto"/>
        <w:ind w:firstLine="230"/>
        <w:jc w:val="both"/>
      </w:pPr>
      <w:r>
        <w:t>Frozen facebook/wav2vec2-xls-r-300m, last-layer mean pooling, cached features, and a lightweight trainable head. Backbone weights are not updated. Production calibration is global temperature scaling selected on validation.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C. Baselines and Controls</w:t>
      </w:r>
    </w:p>
    <w:p>
      <w:pPr>
        <w:spacing w:after="40" w:line="240" w:lineRule="auto"/>
        <w:ind w:firstLine="230"/>
        <w:jc w:val="both"/>
      </w:pPr>
      <w:r>
        <w:t>LFCC-GMM is a complete weak baseline. A RawNet2-style approximate baseline must not be called faithful RawNet2 (PENDING). An English-only ASVspoof LA control is evaluated on the same Indic held-out test.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D. Compression and Metrics</w:t>
      </w:r>
    </w:p>
    <w:p>
      <w:pPr>
        <w:spacing w:after="40" w:line="240" w:lineRule="auto"/>
        <w:ind w:firstLine="230"/>
        <w:jc w:val="both"/>
      </w:pPr>
      <w:r>
        <w:t>ffmpeg/libopus at 16 kbps provides a WhatsApp-style Opus simulation, not WhatsApp transport. EER, ROC-AUC, and normalized min-DCF share score direction. min-DCF uses P_target=0.05, C_miss=1, C_fa=1.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V. PRIMARY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1424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42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2. Held-out performance overview.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2273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273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3. Confusion matrix (Baseline V1).</w:t>
      </w:r>
    </w:p>
    <w:p>
      <w:pPr>
        <w:jc w:val="center"/>
      </w:pPr>
      <w:r>
        <w:rPr>
          <w:b/>
          <w:sz w:val="16"/>
        </w:rPr>
        <w:t>TABLE IV. CANONICAL HELD-OUT RESULTS (THRESHOLD 0.5)</w:t>
      </w:r>
    </w:p>
    <w:tbl>
      <w:tblPr>
        <w:tblStyle w:val="TableGrid"/>
        <w:tblW w:type="dxa" w:w="4536"/>
        <w:tblLayout w:type="fixed"/>
        <w:tblLook w:firstColumn="1" w:firstRow="1" w:lastColumn="0" w:lastRow="0" w:noHBand="0" w:noVBand="1" w:val="04A0"/>
      </w:tblPr>
      <w:tblGrid>
        <w:gridCol w:w="1656"/>
        <w:gridCol w:w="1440"/>
        <w:gridCol w:w="1440"/>
      </w:tblGrid>
      <w:tr>
        <w:trPr>
          <w:tblHeader w:val="true"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System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Acc / EER / AUC / min-DCF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Acoustic Baseline V1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584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91.61% / 6.56% / 0.9729 / 0.7841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Frozen XLS-R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584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92.12% / 6.88% / 0.9828 / 0.3144</w:t>
            </w:r>
          </w:p>
        </w:tc>
      </w:tr>
    </w:tbl>
    <w:p>
      <w:pPr>
        <w:spacing w:after="40" w:line="240" w:lineRule="auto"/>
        <w:ind w:firstLine="230"/>
        <w:jc w:val="both"/>
      </w:pPr>
      <w:r>
        <w:t>Frozen XLS-R improves ranking performance while thresholded accuracy remains broadly comparable to Baseline V1.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VI. COMPRESSION (RQ1)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12748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ition_break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274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4. Clean versus Opus condition breakdown.</w:t>
      </w:r>
    </w:p>
    <w:p>
      <w:pPr>
        <w:jc w:val="center"/>
      </w:pPr>
      <w:r>
        <w:rPr>
          <w:b/>
          <w:sz w:val="16"/>
        </w:rPr>
        <w:t>TABLE V. RQ1 COMPRESSION (WHATSAPP-STYLE OPUS 16 KBPS)</w:t>
      </w:r>
    </w:p>
    <w:tbl>
      <w:tblPr>
        <w:tblStyle w:val="TableGrid"/>
        <w:tblW w:type="dxa" w:w="4536"/>
        <w:tblLayout w:type="fixed"/>
        <w:tblLook w:firstColumn="1" w:firstRow="1" w:lastColumn="0" w:lastRow="0" w:noHBand="0" w:noVBand="1" w:val="04A0"/>
      </w:tblPr>
      <w:tblGrid>
        <w:gridCol w:w="1656"/>
        <w:gridCol w:w="1440"/>
        <w:gridCol w:w="1440"/>
      </w:tblGrid>
      <w:tr>
        <w:trPr>
          <w:tblHeader w:val="true"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Model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Clean Acc / EER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Opus Acc / EER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Acoustic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93.84% / 5.63%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89.38% / 7.58%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Frozen XLS-R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91.44% / 8.13%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92.81% / 6.06%</w:t>
            </w:r>
          </w:p>
        </w:tc>
      </w:tr>
    </w:tbl>
    <w:p>
      <w:pPr>
        <w:spacing w:after="40" w:line="240" w:lineRule="auto"/>
        <w:ind w:firstLine="230"/>
        <w:jc w:val="both"/>
      </w:pPr>
      <w:r>
        <w:t>Compression effects are model-dependent on this benchmark.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VII. ENGLISH-ONLY TRANSFER (RQ2)</w:t>
      </w:r>
    </w:p>
    <w:p>
      <w:pPr>
        <w:jc w:val="center"/>
      </w:pPr>
      <w:r>
        <w:rPr>
          <w:b/>
          <w:sz w:val="16"/>
        </w:rPr>
        <w:t>TABLE VI. RQ2 ENGLISH→INDIC TRANSFER</w:t>
      </w:r>
    </w:p>
    <w:tbl>
      <w:tblPr>
        <w:tblStyle w:val="TableGrid"/>
        <w:tblW w:type="dxa" w:w="4536"/>
        <w:tblLayout w:type="fixed"/>
        <w:tblLook w:firstColumn="1" w:firstRow="1" w:lastColumn="0" w:lastRow="0" w:noHBand="0" w:noVBand="1" w:val="04A0"/>
      </w:tblPr>
      <w:tblGrid>
        <w:gridCol w:w="1656"/>
        <w:gridCol w:w="1440"/>
        <w:gridCol w:w="1440"/>
      </w:tblGrid>
      <w:tr>
        <w:trPr>
          <w:tblHeader w:val="true"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System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Acc / EER / AUC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Note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English-only control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54.79% / 76.56% / 0.162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All REAL at thr 0.5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Multilingual Baseline V1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91.61% / 6.56% / 0.9729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Same Indic test</w:t>
            </w:r>
          </w:p>
        </w:tc>
      </w:tr>
    </w:tbl>
    <w:p>
      <w:pPr>
        <w:spacing w:after="40" w:line="240" w:lineRule="auto"/>
        <w:ind w:firstLine="230"/>
        <w:jc w:val="both"/>
      </w:pPr>
      <w:r>
        <w:t>English-only anti-spoofing fails to transfer. Official scores are not polarity-flipped to inflate AUC.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VIII. CROSS-LINGUAL TRANSFER (RQ3)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12693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lingual_transf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269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5. Cross-lingual / language transfer view.</w:t>
      </w:r>
    </w:p>
    <w:p>
      <w:pPr>
        <w:jc w:val="center"/>
      </w:pPr>
      <w:r>
        <w:rPr>
          <w:b/>
          <w:sz w:val="16"/>
        </w:rPr>
        <w:t>TABLE VII. RQ3 LEAVE-ONE-LANGUAGE-OUT (ROUND 3)</w:t>
      </w:r>
    </w:p>
    <w:tbl>
      <w:tblPr>
        <w:tblStyle w:val="TableGrid"/>
        <w:tblW w:type="dxa" w:w="4536"/>
        <w:tblLayout w:type="fixed"/>
        <w:tblLook w:firstColumn="1" w:firstRow="1" w:lastColumn="0" w:lastRow="0" w:noHBand="0" w:noVBand="1" w:val="04A0"/>
      </w:tblPr>
      <w:tblGrid>
        <w:gridCol w:w="1656"/>
        <w:gridCol w:w="1440"/>
        <w:gridCol w:w="1440"/>
      </w:tblGrid>
      <w:tr>
        <w:trPr>
          <w:tblHeader w:val="true"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Held-out language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Accuracy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EER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Hindi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78.83%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21.83%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Marathi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93.29%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7.14%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Tamil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93.94%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6.35%</w:t>
            </w:r>
          </w:p>
        </w:tc>
      </w:tr>
    </w:tbl>
    <w:p>
      <w:pPr>
        <w:spacing w:after="40" w:line="240" w:lineRule="auto"/>
        <w:ind w:firstLine="230"/>
        <w:jc w:val="both"/>
      </w:pPr>
      <w:r>
        <w:t>Transfer is strongly asymmetric; Hindi is the weakest zero-shot cell.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IX. CALIBRATION (RQ4)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14182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418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6. Reliability diagram.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12889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pre_p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28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7. Pre/post calibration comparison.</w:t>
      </w:r>
    </w:p>
    <w:p>
      <w:pPr>
        <w:jc w:val="center"/>
      </w:pPr>
      <w:r>
        <w:rPr>
          <w:b/>
          <w:sz w:val="16"/>
        </w:rPr>
        <w:t>TABLE VIII. RQ4 CALIBRATION AUDIT</w:t>
      </w:r>
    </w:p>
    <w:tbl>
      <w:tblPr>
        <w:tblStyle w:val="TableGrid"/>
        <w:tblW w:type="dxa" w:w="4536"/>
        <w:tblLayout w:type="fixed"/>
        <w:tblLook w:firstColumn="1" w:firstRow="1" w:lastColumn="0" w:lastRow="0" w:noHBand="0" w:noVBand="1" w:val="04A0"/>
      </w:tblPr>
      <w:tblGrid>
        <w:gridCol w:w="1656"/>
        <w:gridCol w:w="1440"/>
        <w:gridCol w:w="1440"/>
      </w:tblGrid>
      <w:tr>
        <w:trPr>
          <w:tblHeader w:val="true"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Quantity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Value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Role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Pre-cal test ECE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0.0245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Held-out uncalibrated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Post-cal test ECE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0.0260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After val-selected strategy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Selection rule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validation ECE only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No test peeking for production</w:t>
            </w:r>
          </w:p>
        </w:tc>
      </w:tr>
    </w:tbl>
    <w:p>
      <w:pPr>
        <w:spacing w:after="40" w:line="240" w:lineRule="auto"/>
        <w:ind w:firstLine="230"/>
        <w:jc w:val="both"/>
      </w:pPr>
      <w:r>
        <w:t>Validation-selected fine-grained calibration slightly worsened held-out ECE (0.0245 → 0.0260). This negative transfer result is retained.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X. EXTERNAL VALIDITY AND V2 PILOT</w:t>
      </w:r>
    </w:p>
    <w:p>
      <w:pPr>
        <w:jc w:val="center"/>
      </w:pPr>
      <w:r>
        <w:rPr>
          <w:b/>
          <w:sz w:val="16"/>
        </w:rPr>
        <w:t>TABLE IX. REMAINING GENERALIZATION STATUS</w:t>
      </w:r>
    </w:p>
    <w:tbl>
      <w:tblPr>
        <w:tblStyle w:val="TableGrid"/>
        <w:tblW w:type="dxa" w:w="4536"/>
        <w:tblLayout w:type="fixed"/>
        <w:tblLook w:firstColumn="1" w:firstRow="1" w:lastColumn="0" w:lastRow="0" w:noHBand="0" w:noVBand="1" w:val="04A0"/>
      </w:tblPr>
      <w:tblGrid>
        <w:gridCol w:w="1656"/>
        <w:gridCol w:w="1440"/>
        <w:gridCol w:w="1440"/>
      </w:tblGrid>
      <w:tr>
        <w:trPr>
          <w:tblHeader w:val="true"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Eval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Status / Result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V2 full test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593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PARTIAL / not confound-free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FLEURS unseen-real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PILOT / 55.6% pipeline only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Generator-disjoint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PENDING / no result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V2 source probe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593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PARTIAL / 98.48% source identity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Faithful RawNet2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PENDING / not implemented</w:t>
            </w:r>
          </w:p>
        </w:tc>
      </w:tr>
    </w:tbl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XI. DISCUSSION</w:t>
      </w:r>
    </w:p>
    <w:p>
      <w:pPr>
        <w:spacing w:after="40" w:line="240" w:lineRule="auto"/>
        <w:ind w:firstLine="230"/>
        <w:jc w:val="both"/>
      </w:pPr>
      <w:r>
        <w:t>Strong V1 discrimination coexists with structural threats. Catastrophic English→Indic transfer supports multilingual training for this domain. Asymmetric LOLO results caution against treating Indian languages as a homogeneous transfer class. Negative calibration transfer shows validation ECE gains require held-out audits. The paper therefore scopes its contribution to the reproducible machine-evaluation evidence reported here.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XII. LIMITATIONS</w:t>
      </w:r>
    </w:p>
    <w:p>
      <w:pPr>
        <w:spacing w:after="40" w:line="240" w:lineRule="auto"/>
        <w:ind w:firstLine="230"/>
        <w:jc w:val="both"/>
      </w:pPr>
      <w:r>
        <w:t>Key threats: (1) V1 source–label confound; (2) bounded size; (3) academic≠scam audio; (4) simulated≠real WhatsApp transport; (5) three-language scope; (6) non-canonical AASIST / pending faithful RawNet2; (7) incomplete V2; (8) source probe 98.48%; (9) FLEURS n=9; (10) generator-disjoint n=0; (11) calibration-transfer uncertainty; (12) unresolved val/test heterogeneity; (13) no universal unseen-generator claim. Strong EER can coexist with high min-DCF under a 5% target prior.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XIII. ETHICS</w:t>
      </w:r>
    </w:p>
    <w:p>
      <w:pPr>
        <w:spacing w:after="40" w:line="240" w:lineRule="auto"/>
        <w:ind w:firstLine="230"/>
        <w:jc w:val="both"/>
      </w:pPr>
      <w:r>
        <w:t>Audio and weights are excluded from version control. Kathbath access conditions and IndicSynth non-commercial restrictions are respected. Dual-use risks of detection systems are acknowledged; release emphasizes research evaluation.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XIV. REPRODUCIBILITY</w:t>
      </w:r>
    </w:p>
    <w:p>
      <w:pPr>
        <w:spacing w:after="40" w:line="240" w:lineRule="auto"/>
        <w:ind w:firstLine="230"/>
        <w:jc w:val="both"/>
      </w:pPr>
      <w:r>
        <w:t>Authoritative metrics are frozen in artifacts/final_results_manifest.json at commit 084bd47ca6ca1b69a7cdbf424e2946f3794c2a95. Integrity verification: scripts/verify_research_integrity.py. Documents must consume the frozen manifest rather than superseded checkpoints.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XV. FUTURE WORK</w:t>
      </w:r>
    </w:p>
    <w:p>
      <w:pPr>
        <w:spacing w:after="40" w:line="240" w:lineRule="auto"/>
        <w:ind w:firstLine="230"/>
        <w:jc w:val="both"/>
      </w:pPr>
      <w:r>
        <w:t>Expand confound-controlled and generator-disjoint evaluation; implement faithful RawNet2 and canonical AASIST; study real messaging-channel audio beyond Opus simulation.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XVI. CONCLUSION</w:t>
      </w:r>
    </w:p>
    <w:p>
      <w:pPr>
        <w:spacing w:after="40" w:line="240" w:lineRule="auto"/>
        <w:ind w:firstLine="230"/>
        <w:jc w:val="both"/>
      </w:pPr>
      <w:r>
        <w:t>VaaniQ establishes a reproducible multilingual framework for studying audio-deepfake detection under language, codec, and confidence-calibration shift. Acoustic and frozen XLS-R pipelines achieve strong held-out discrimination on bounded V1, while transfer, calibration, and source-domain experiments expose important limits. Evidence supports multilingual machine evaluation but does not establish universal source- or generator-independent detection.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REFERENCES</w:t>
      </w:r>
    </w:p>
    <w:p>
      <w:pPr>
        <w:spacing w:after="0" w:line="216" w:lineRule="auto"/>
        <w:ind w:left="202" w:hanging="202"/>
      </w:pPr>
      <w:r>
        <w:rPr>
          <w:rFonts w:ascii="Times New Roman" w:hAnsi="Times New Roman"/>
          <w:sz w:val="14"/>
        </w:rPr>
        <w:t>[1] J. Jung et al., AASIST: Audio anti-spoofing using integrated spectro-temporal graph attention networks, in Proc. ICASSP, 2022.</w:t>
      </w:r>
    </w:p>
    <w:p>
      <w:pPr>
        <w:spacing w:after="0" w:line="216" w:lineRule="auto"/>
        <w:ind w:left="202" w:hanging="202"/>
      </w:pPr>
      <w:r>
        <w:rPr>
          <w:rFonts w:ascii="Times New Roman" w:hAnsi="Times New Roman"/>
          <w:sz w:val="14"/>
        </w:rPr>
        <w:t>[2] A. Babu et al., XLS-R: Self-supervised cross-lingual speech representation learning at scale, arXiv:2111.09296, 2021.</w:t>
      </w:r>
    </w:p>
    <w:p>
      <w:pPr>
        <w:spacing w:after="0" w:line="216" w:lineRule="auto"/>
        <w:ind w:left="202" w:hanging="202"/>
      </w:pPr>
      <w:r>
        <w:rPr>
          <w:rFonts w:ascii="Times New Roman" w:hAnsi="Times New Roman"/>
          <w:sz w:val="14"/>
        </w:rPr>
        <w:t>[3] T. Javed et al., IndicSUPERB: A speech processing universal performance benchmark for Indian languages, arXiv:2208.11761, 2022.</w:t>
      </w:r>
    </w:p>
    <w:p>
      <w:pPr>
        <w:spacing w:after="0" w:line="216" w:lineRule="auto"/>
        <w:ind w:left="202" w:hanging="202"/>
      </w:pPr>
      <w:r>
        <w:rPr>
          <w:rFonts w:ascii="Times New Roman" w:hAnsi="Times New Roman"/>
          <w:sz w:val="14"/>
        </w:rPr>
        <w:t>[4] D. V. Sharma, V. Ekbote, and A. Gupta, IndicSynth: A large-scale multilingual synthetic speech dataset, ACL, 2025.</w:t>
      </w:r>
    </w:p>
    <w:p>
      <w:pPr>
        <w:spacing w:after="0" w:line="216" w:lineRule="auto"/>
        <w:ind w:left="202" w:hanging="202"/>
      </w:pPr>
      <w:r>
        <w:rPr>
          <w:rFonts w:ascii="Times New Roman" w:hAnsi="Times New Roman"/>
          <w:sz w:val="14"/>
        </w:rPr>
        <w:t>[5] O. Pascu et al., Towards calibrated and explainable audio deepfake detection, in Proc. Interspeech, 2024.</w:t>
      </w:r>
    </w:p>
    <w:p>
      <w:pPr>
        <w:spacing w:after="0" w:line="216" w:lineRule="auto"/>
        <w:ind w:left="202" w:hanging="202"/>
      </w:pPr>
      <w:r>
        <w:rPr>
          <w:rFonts w:ascii="Times New Roman" w:hAnsi="Times New Roman"/>
          <w:sz w:val="14"/>
        </w:rPr>
        <w:t>[6] AI4Bharat, Kathbath dataset, Hugging Face: ai4bharat/Kathbath.</w:t>
      </w:r>
    </w:p>
    <w:p>
      <w:pPr>
        <w:spacing w:after="0" w:line="216" w:lineRule="auto"/>
        <w:ind w:left="202" w:hanging="202"/>
      </w:pPr>
      <w:r>
        <w:rPr>
          <w:rFonts w:ascii="Times New Roman" w:hAnsi="Times New Roman"/>
          <w:sz w:val="14"/>
        </w:rPr>
        <w:t>[7] D. V. Sharma et al., IndicSynth dataset, Hugging Face: vdivyasharma/IndicSynth.</w:t>
      </w:r>
    </w:p>
    <w:p>
      <w:pPr>
        <w:spacing w:after="0" w:line="216" w:lineRule="auto"/>
        <w:ind w:left="202" w:hanging="202"/>
      </w:pPr>
      <w:r>
        <w:rPr>
          <w:rFonts w:ascii="Times New Roman" w:hAnsi="Times New Roman"/>
          <w:sz w:val="14"/>
        </w:rPr>
        <w:t>[8] A. Conneau et al., FLEURS: Few-shot learning evaluation of universal representations of speech, arXiv:2205.12446, 2022.</w:t>
      </w:r>
    </w:p>
    <w:p>
      <w:pPr>
        <w:spacing w:after="0" w:line="216" w:lineRule="auto"/>
        <w:ind w:left="202" w:hanging="202"/>
      </w:pPr>
      <w:r>
        <w:rPr>
          <w:rFonts w:ascii="Times New Roman" w:hAnsi="Times New Roman"/>
          <w:sz w:val="14"/>
        </w:rPr>
        <w:t>[9] IETF RFC 6716, Definition of the Opus Audio Codec, 2012.</w:t>
      </w:r>
    </w:p>
    <w:p>
      <w:pPr>
        <w:spacing w:after="0" w:line="216" w:lineRule="auto"/>
        <w:ind w:left="202" w:hanging="202"/>
      </w:pPr>
      <w:r>
        <w:rPr>
          <w:rFonts w:ascii="Times New Roman" w:hAnsi="Times New Roman"/>
          <w:sz w:val="14"/>
        </w:rPr>
        <w:t>[10] ASVspoof 2019, logical access evaluation plan; English-only control uses a streaming subset of Bisher/ASVspoof_2019_LA (ODC-By).</w:t>
      </w:r>
    </w:p>
    <w:sectPr w:rsidR="00FC693F" w:rsidRPr="0006063C" w:rsidSect="00034616">
      <w:type w:val="continuous"/>
      <w:pgSz w:w="12240" w:h="15840"/>
      <w:pgMar w:top="893" w:right="950" w:bottom="893" w:left="95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