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VaaniQ: Cross-Lingual, Compression-Robust Detection and Calibrated Reliability Estimation for AI-Generated Voice in Indian Languages</w:t>
      </w:r>
    </w:p>
    <w:p>
      <w:pPr>
        <w:jc w:val="center"/>
      </w:pPr>
      <w:r>
        <w:t>Gaurav Phadale, Eshaan Sarkhawas, Aarav Phutane, Prajwal Patil</w:t>
        <w:br/>
        <w:t>Mukesh Patel School of Technology Management &amp; Engineering, NMIMS</w:t>
        <w:br/>
        <w:t>Faculty Guide: Prof. Rama Bharti Varshney</w:t>
      </w:r>
    </w:p>
    <w:p>
      <w:pPr>
        <w:jc w:val="center"/>
      </w:pPr>
      <w:r>
        <w:rPr>
          <w:b/>
          <w:sz w:val="18"/>
        </w:rPr>
        <w:t>Mid-Term Capstone Research Paper Draft - Academic Year 2026-27</w:t>
      </w:r>
    </w:p>
    <w:p>
      <w:pPr>
        <w:jc w:val="both"/>
      </w:pPr>
      <w:r>
        <w:rPr>
          <w:b/>
        </w:rPr>
        <w:t>Abstract—</w:t>
      </w:r>
      <w:r>
        <w:t>AI-generated speech creates a fraud risk in linguistically diverse and compression-heavy communication channels. VaaniQ evaluates real Kathbath and generated IndicSynth speech in Hindi, Marathi, and Tamil using a speaker-disjoint benchmark, a deterministic acoustic front-end, an AASIST-compatible anti-spoofing head, and validation-only temperature scaling. On 584 held-out evaluation instances, the measured accuracy is 93.7%, equal error rate is 6.6%, F1 is 93.3%, post-calibration ECE is 0.042, and Brier score is 0.059. Results are restricted to the persisted bounded subset and do not imply performance on the complete source corpora.</w:t>
      </w:r>
    </w:p>
    <w:p>
      <w:pPr>
        <w:jc w:val="both"/>
      </w:pPr>
      <w:r>
        <w:rPr>
          <w:b/>
        </w:rPr>
        <w:t>Index Terms—</w:t>
      </w:r>
      <w:r>
        <w:t>audio deepfake detection, Indian languages, Kathbath, IndicSynth, Opus compression, calibration, AASIST</w:t>
      </w:r>
    </w:p>
    <w:p>
      <w:pPr>
        <w:sectPr>
          <w:pgSz w:w="12240" w:h="15840"/>
          <w:pgMar w:top="893" w:right="950" w:bottom="893" w:left="950" w:header="720" w:footer="720" w:gutter="0"/>
          <w:cols w:space="720"/>
          <w:docGrid w:linePitch="360"/>
        </w:sectPr>
      </w:pP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I. INTRODUCTION</w:t>
      </w:r>
    </w:p>
    <w:p>
      <w:pPr>
        <w:spacing w:after="40" w:line="240" w:lineRule="auto"/>
        <w:ind w:firstLine="230"/>
        <w:jc w:val="both"/>
      </w:pPr>
      <w:r>
        <w:t>Voice cloning can imitate speakers from short reference recordings and can be delivered through compressed messaging channels. Existing major anti-spoofing benchmarks are concentrated in English or Mandarin. VaaniQ targets Hindi, Marathi, and Tamil and combines detection, codec robustness, calibrated confidence, explainability, and a human-perception protocol.</w:t>
      </w:r>
    </w:p>
    <w:p>
      <w:pPr>
        <w:spacing w:after="40" w:line="240" w:lineRule="auto"/>
        <w:ind w:firstLine="230"/>
        <w:jc w:val="both"/>
      </w:pPr>
      <w:r>
        <w:t>The project addresses five research questions: compression degradation (RQ1), multilingual versus English-only training (RQ2), zero-shot cross-lingual transfer (RQ3), calibration under compression (RQ4), and human-versus-model performance on identical stimuli (RQ5). This mid-term draft reports only completed, reproducible subset experiments.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II. RELATED WORK</w:t>
      </w:r>
    </w:p>
    <w:p>
      <w:pPr>
        <w:spacing w:after="40" w:line="240" w:lineRule="auto"/>
        <w:ind w:firstLine="230"/>
        <w:jc w:val="both"/>
      </w:pPr>
      <w:r>
        <w:t>AASIST integrates spectro-temporal graph attention for anti-spoofing [1]. XLS-R provides cross-lingual self-supervised speech representations [2]. IndicSUPERB introduced Kathbath, a large human-labelled Indian-language speech resource [3], while IndicSynth provides synthetic speech for twelve Indian languages [4]. Prior calibration research demonstrates that high classification accuracy does not guarantee trustworthy confidence [5].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III. DATASET AND EXPERIMENTAL PROTOCOL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A. Sources and Licences</w:t>
      </w:r>
    </w:p>
    <w:p>
      <w:pPr>
        <w:spacing w:after="40" w:line="240" w:lineRule="auto"/>
        <w:ind w:firstLine="230"/>
        <w:jc w:val="both"/>
      </w:pPr>
      <w:r>
        <w:t>The persisted source subset contains 1800 original clips (3.15 h). Bonafide clips are drawn from ai4bharat/Kathbath under its published packaging terms; generated clips are drawn from vdivyasharma/IndicSynth under CC BY-NC 4.0 for non-commercial academic research. The subset is balanced by source label and language.</w:t>
      </w:r>
    </w:p>
    <w:p>
      <w:pPr>
        <w:spacing w:before="60" w:after="20"/>
      </w:pPr>
      <w:r>
        <w:rPr>
          <w:rFonts w:ascii="Times New Roman" w:hAnsi="Times New Roman"/>
          <w:i/>
          <w:sz w:val="20"/>
        </w:rPr>
        <w:t>B. Leakage Control</w:t>
      </w:r>
    </w:p>
    <w:p>
      <w:pPr>
        <w:spacing w:after="40" w:line="240" w:lineRule="auto"/>
        <w:ind w:firstLine="230"/>
        <w:jc w:val="both"/>
      </w:pPr>
      <w:r>
        <w:t>Source and target speaker identifiers are normalized before a deterministic SHA-256 seeded 70/15/15 split. A pre-training assertion rejects any speaker appearing in more than one split. Clean and 16 kbps libopus twins retain the same speaker, label, pair identifier, and split.</w:t>
      </w:r>
    </w:p>
    <w:p>
      <w:pPr>
        <w:jc w:val="center"/>
      </w:pPr>
      <w:r>
        <w:rPr>
          <w:b/>
          <w:sz w:val="16"/>
        </w:rPr>
        <w:t>TABLE I. SPEAKER-DISJOINT DATA PARTITIONS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Partition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Instances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Selection role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Train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1254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Parameter learning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Validation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508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Checkpoint/calibration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Test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584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Final metrics only</w:t>
            </w:r>
          </w:p>
        </w:tc>
      </w:tr>
    </w:tbl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IV. SYSTEM AND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7792" cy="1628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62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16"/>
        </w:rPr>
        <w:t>Fig. 1. VaaniQ software architecture.</w:t>
      </w:r>
    </w:p>
    <w:p>
      <w:pPr>
        <w:spacing w:after="40" w:line="240" w:lineRule="auto"/>
        <w:ind w:firstLine="230"/>
        <w:jc w:val="both"/>
      </w:pPr>
      <w:r>
        <w:t>Audio is decoded, converted to mono 16 kHz, peak-normalized, and bounded in duration. The measured subset uses a deterministic 1024-dimensional acoustic embedding and an AASIST-compatible NumPy classification head. Validation accuracy, followed by EER, selects the checkpoint. Per-language and per-condition temperature scaling is fitted only on validation logits.</w:t>
      </w:r>
    </w:p>
    <w:p>
      <w:pPr>
        <w:spacing w:after="40" w:line="240" w:lineRule="auto"/>
        <w:ind w:firstLine="230"/>
        <w:jc w:val="both"/>
      </w:pPr>
      <w:r>
        <w:t>The implementation exposes upload and live-microphone inference through FastAPI and a strict TypeScript React interface. Reliability diagrams, coverage curves, spectrograms, temporal attention, frequency-band masking, and compression views support interpretation.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V. RESULTS</w:t>
      </w:r>
    </w:p>
    <w:p>
      <w:pPr>
        <w:jc w:val="center"/>
      </w:pPr>
      <w:r>
        <w:rPr>
          <w:b/>
          <w:sz w:val="16"/>
        </w:rPr>
        <w:t>TABLE II. OVERALL SPEAKER-DISJOINT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Metric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Held-out value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Accuracy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93.7%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Precision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89.8%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Recall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97.0%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F1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93.3%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EER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6.6%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min-DCF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0.787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ROC-AUC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0.974</w:t>
            </w:r>
          </w:p>
        </w:tc>
      </w:tr>
    </w:tbl>
    <w:p>
      <w:pPr>
        <w:jc w:val="center"/>
      </w:pPr>
      <w:r>
        <w:rPr>
          <w:b/>
          <w:sz w:val="16"/>
        </w:rPr>
        <w:t>TABLE III. PER-LANGUAGE HELD-OUT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Language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F1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Hindi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222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93.7%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91.9%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5.6%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Marathi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164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93.9%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95.5%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6.2%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Tamil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198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93.4%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91.6%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7.1%</w:t>
            </w:r>
          </w:p>
        </w:tc>
      </w:tr>
    </w:tbl>
    <w:p>
      <w:pPr>
        <w:jc w:val="center"/>
      </w:pPr>
      <w:r>
        <w:rPr>
          <w:b/>
          <w:sz w:val="16"/>
        </w:rPr>
        <w:t>TABLE IV. CLEAN AND PAIRED-OPUS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Condition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F1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Clean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292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95.2%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94.8%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5.6%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Opus 16 kbps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292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92.1%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91.7%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7.6%</w:t>
            </w:r>
          </w:p>
        </w:tc>
      </w:tr>
    </w:tbl>
    <w:p>
      <w:pPr>
        <w:jc w:val="center"/>
      </w:pPr>
      <w:r>
        <w:rPr>
          <w:b/>
          <w:sz w:val="16"/>
        </w:rPr>
        <w:t>TABLE V. LEAVE-ONE-LANGUAGE-OUT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Unseen language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n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Accuracy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F1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EER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Hindi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222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78.8%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72.5%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21.8%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Marathi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164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93.3%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95.2%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7.1%</w:t>
            </w:r>
          </w:p>
        </w:tc>
      </w:tr>
      <w:tr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Tamil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198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93.9%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92.2%</w:t>
            </w:r>
          </w:p>
        </w:tc>
        <w:tc>
          <w:tcPr>
            <w:tcW w:type="dxa" w:w="206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6.3%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7792" cy="1680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lingual_transf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68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16"/>
        </w:rPr>
        <w:t>Fig. 2. Transfer when each test language is excluded from training.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7792" cy="2460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246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16"/>
        </w:rPr>
        <w:t>Fig. 3. Confusion matrix on the held-out test partition.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VI. CALIBRATION AND RELIABILITY</w:t>
      </w:r>
    </w:p>
    <w:p>
      <w:pPr>
        <w:jc w:val="center"/>
      </w:pPr>
      <w:r>
        <w:rPr>
          <w:b/>
          <w:sz w:val="16"/>
        </w:rPr>
        <w:t>TABLE VI. VALIDATION-FITTED CALIBRATION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Error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Before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After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ECE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0.038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0.042</w:t>
            </w:r>
          </w:p>
        </w:tc>
      </w:tr>
      <w:tr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Brier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0.055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0.059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7792" cy="1881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188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16"/>
        </w:rPr>
        <w:t>Fig. 4. Post-calibration reliability on held-out data.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VII. IMPLEMENTATION PROGRESS</w:t>
      </w:r>
    </w:p>
    <w:p>
      <w:pPr>
        <w:jc w:val="center"/>
      </w:pPr>
      <w:r>
        <w:rPr>
          <w:b/>
          <w:sz w:val="16"/>
        </w:rPr>
        <w:t>TABLE VII. MID-TERM IMPLEMENTATION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Work package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5"/>
              </w:rPr>
              <w:t>Status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API, validation, typed errors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React UI, upload, live microphone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Kathbath + IndicSynth ingest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Speaker-disjoint training/evaluation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Opus paired evaluation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Calibration and explainability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RQ2 English-only baseline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Pending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RQ3 leave-one-language-out runs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Complete</w:t>
            </w:r>
          </w:p>
        </w:tc>
      </w:tr>
      <w:tr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RQ5 participant data collection</w:t>
            </w:r>
          </w:p>
        </w:tc>
        <w:tc>
          <w:tcPr>
            <w:tcW w:type="dxa" w:w="5170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5"/>
              </w:rPr>
              <w:t>Pending (N=0)</w:t>
            </w:r>
          </w:p>
        </w:tc>
      </w:tr>
    </w:tbl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VIII. LIMITATIONS AND THREATS TO VALIDITY</w:t>
      </w:r>
    </w:p>
    <w:p>
      <w:pPr>
        <w:spacing w:after="40" w:line="240" w:lineRule="auto"/>
        <w:ind w:firstLine="230"/>
        <w:jc w:val="both"/>
      </w:pPr>
      <w:r>
        <w:t>The measured corpus is a bounded subset rather than the complete 303 GB six-cell source collection. Dataset-source artefacts may make discrimination easier than unseen-generator detection. The current front-end is a compact deterministic embedding, not the final frozen XLS-R representation. RQ2 and RQ5 remain incomplete; consequently, no claim is made for those questions or for generalization beyond the persisted manifest. RQ3 is reported as a measured leave-one-language-out baseline.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IX. ETHICS AND REPRODUCIBILITY</w:t>
      </w:r>
    </w:p>
    <w:p>
      <w:pPr>
        <w:spacing w:after="40" w:line="240" w:lineRule="auto"/>
        <w:ind w:firstLine="230"/>
        <w:jc w:val="both"/>
      </w:pPr>
      <w:r>
        <w:t>Audio is excluded from version control. The manifest records source, label, speaker, split, duration, checksum, and generation model. Kathbath access conditions and IndicSynth non-commercial restrictions are respected. The human protocol is anonymous and reveals no gold labels during trials.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X. CONCLUSION</w:t>
      </w:r>
    </w:p>
    <w:p>
      <w:pPr>
        <w:spacing w:after="40" w:line="240" w:lineRule="auto"/>
        <w:ind w:firstLine="230"/>
        <w:jc w:val="both"/>
      </w:pPr>
      <w:r>
        <w:t>VaaniQ demonstrates an end-to-end multilingual audio-deepfake research apparatus with real/fake source ingest, speaker-disjoint evaluation, compression testing, calibrated confidence, explainability, and a live web application. The current measurements establish a reproducible mid-term baseline; planned detector baselines, cross-lingual runs, and human responses are required for the final conference-oriented study.</w:t>
      </w:r>
    </w:p>
    <w:p>
      <w:pPr>
        <w:spacing w:before="100" w:after="40"/>
        <w:jc w:val="center"/>
      </w:pPr>
      <w:r>
        <w:rPr>
          <w:rFonts w:ascii="Times New Roman" w:hAnsi="Times New Roman"/>
          <w:b/>
          <w:sz w:val="20"/>
        </w:rPr>
        <w:t>. REFERENCES</w:t>
      </w:r>
    </w:p>
    <w:p>
      <w:pPr>
        <w:spacing w:after="20"/>
        <w:ind w:left="202" w:hanging="202"/>
      </w:pPr>
      <w:r>
        <w:rPr>
          <w:sz w:val="16"/>
        </w:rPr>
        <w:t>[1] J. Jung et al., “AASIST: Audio anti-spoofing using integrated spectro-temporal graph attention networks,” ICASSP, 2022.</w:t>
      </w:r>
    </w:p>
    <w:p>
      <w:pPr>
        <w:spacing w:after="20"/>
        <w:ind w:left="202" w:hanging="202"/>
      </w:pPr>
      <w:r>
        <w:rPr>
          <w:sz w:val="16"/>
        </w:rPr>
        <w:t>[2] A. Babu et al., “XLS-R: Self-supervised cross-lingual speech representation learning at scale,” arXiv:2111.09296, 2021.</w:t>
      </w:r>
    </w:p>
    <w:p>
      <w:pPr>
        <w:spacing w:after="20"/>
        <w:ind w:left="202" w:hanging="202"/>
      </w:pPr>
      <w:r>
        <w:rPr>
          <w:sz w:val="16"/>
        </w:rPr>
        <w:t>[3] T. Javed et al., “IndicSUPERB: A speech processing universal performance benchmark for Indian languages,” arXiv:2208.11761, 2022.</w:t>
      </w:r>
    </w:p>
    <w:p>
      <w:pPr>
        <w:spacing w:after="20"/>
        <w:ind w:left="202" w:hanging="202"/>
      </w:pPr>
      <w:r>
        <w:rPr>
          <w:sz w:val="16"/>
        </w:rPr>
        <w:t>[4] D. V. Sharma, V. Ekbote, and A. Gupta, “IndicSynth: A large-scale multilingual synthetic speech dataset,” ACL, 2025.</w:t>
      </w:r>
    </w:p>
    <w:p>
      <w:pPr>
        <w:spacing w:after="20"/>
        <w:ind w:left="202" w:hanging="202"/>
      </w:pPr>
      <w:r>
        <w:rPr>
          <w:sz w:val="16"/>
        </w:rPr>
        <w:t>[5] O. Pascu et al., “Towards calibrated and explainable audio deepfake detection,” Interspeech, 2024.</w:t>
      </w:r>
    </w:p>
    <w:p>
      <w:pPr>
        <w:spacing w:after="20"/>
        <w:ind w:left="202" w:hanging="202"/>
      </w:pPr>
      <w:r>
        <w:rPr>
          <w:sz w:val="16"/>
        </w:rPr>
        <w:t>[6] R. Müller et al., “Human perception of audio deepfakes,” ACM Workshop on Information Hiding and Multimedia Security, 2022.</w:t>
      </w:r>
    </w:p>
    <w:p>
      <w:pPr>
        <w:spacing w:after="20"/>
        <w:ind w:left="202" w:hanging="202"/>
      </w:pPr>
      <w:r>
        <w:rPr>
          <w:sz w:val="16"/>
        </w:rPr>
        <w:t>[7] McAfee, “The Artificial Imposter,” May 2023.</w:t>
      </w:r>
    </w:p>
    <w:p>
      <w:pPr>
        <w:spacing w:after="20"/>
        <w:ind w:left="202" w:hanging="202"/>
      </w:pPr>
      <w:r>
        <w:rPr>
          <w:sz w:val="16"/>
        </w:rPr>
        <w:t>[8] AI4Bharat, “Kathbath dataset,” Hugging Face: ai4bharat/Kathbath.</w:t>
      </w:r>
    </w:p>
    <w:p>
      <w:pPr>
        <w:spacing w:after="20"/>
        <w:ind w:left="202" w:hanging="202"/>
      </w:pPr>
      <w:r>
        <w:rPr>
          <w:sz w:val="16"/>
        </w:rPr>
        <w:t>[9] D. V. Sharma et al., “IndicSynth dataset,” Hugging Face: vdivyasharma/IndicSynth.</w:t>
      </w:r>
    </w:p>
    <w:sectPr w:rsidR="00FC693F" w:rsidRPr="0006063C" w:rsidSect="00034616">
      <w:type w:val="continuous"/>
      <w:pgSz w:w="12240" w:h="15840"/>
      <w:pgMar w:top="893" w:right="950" w:bottom="893" w:left="95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