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VaaniQ</w:t>
      </w:r>
    </w:p>
    <w:p>
      <w:pPr>
        <w:jc w:val="center"/>
      </w:pPr>
      <w:r>
        <w:rPr>
          <w:i/>
          <w:sz w:val="28"/>
        </w:rPr>
        <w:t>Cross-Lingual, Compression-Robust Detection and Calibrated Reliability Estimation for AI-Generated Voice in Indian Languages, with a Human-Perception Baseline</w:t>
      </w:r>
    </w:p>
    <w:p>
      <w:pPr>
        <w:jc w:val="center"/>
      </w:pPr>
      <w:r>
        <w:rPr>
          <w:sz w:val="20"/>
        </w:rPr>
        <w:t>Master Presentation Document</w:t>
        <w:br/>
        <w:t>Generated: 28 August 2026, 15:20 India Standard Time</w:t>
        <w:br/>
        <w:t>Build: f74fc5e4de85</w:t>
      </w:r>
    </w:p>
    <w:p>
      <w:r>
        <w:br w:type="page"/>
      </w:r>
    </w:p>
    <w:p>
      <w:pPr>
        <w:pStyle w:val="Heading1"/>
      </w:pPr>
      <w:r>
        <w:t>1. Executive Summary</w:t>
      </w:r>
    </w:p>
    <w:p>
      <w:r>
        <w:t>VaaniQ is a research-grade capstone system that detects AI-generated (cloned and TTS) voice in Hindi, Marathi, and Tamil. Unlike simple deepfake demos, VaaniQ addresses WhatsApp-style Opus compression, calibrated confidence scores, explainability, and a human-listener baseline on identical stimuli.</w:t>
      </w:r>
    </w:p>
    <w:p>
      <w:r>
        <w:t>This document is the master reference for capstone presentation, viva voce, and conference submission preparation. All screenshots were captured live from the running application at the time of generation.</w:t>
      </w:r>
    </w:p>
    <w:tbl>
      <w:tblPr>
        <w:tblStyle w:val="TableGrid"/>
        <w:tblW w:type="auto" w:w="0"/>
        <w:tblLook w:firstColumn="1" w:firstRow="1" w:lastColumn="0" w:lastRow="0" w:noHBand="0" w:noVBand="1" w:val="04A0"/>
      </w:tblPr>
      <w:tblGrid>
        <w:gridCol w:w="5112"/>
        <w:gridCol w:w="5112"/>
      </w:tblGrid>
      <w:tr>
        <w:tc>
          <w:tcPr>
            <w:tcW w:type="dxa" w:w="5112"/>
          </w:tcPr>
          <w:p>
            <w:r>
              <w:rPr>
                <w:b/>
              </w:rPr>
              <w:t>Component</w:t>
            </w:r>
          </w:p>
        </w:tc>
        <w:tc>
          <w:tcPr>
            <w:tcW w:type="dxa" w:w="5112"/>
          </w:tcPr>
          <w:p>
            <w:r>
              <w:rPr>
                <w:b/>
              </w:rPr>
              <w:t>Status</w:t>
            </w:r>
          </w:p>
        </w:tc>
      </w:tr>
      <w:tr>
        <w:tc>
          <w:tcPr>
            <w:tcW w:type="dxa" w:w="5112"/>
          </w:tcPr>
          <w:p>
            <w:r>
              <w:t>Software stack (API + UI + live + explain + human study)</w:t>
            </w:r>
          </w:p>
        </w:tc>
        <w:tc>
          <w:tcPr>
            <w:tcW w:type="dxa" w:w="5112"/>
          </w:tcPr>
          <w:p>
            <w:r>
              <w:t>Complete and operational</w:t>
            </w:r>
          </w:p>
        </w:tc>
      </w:tr>
      <w:tr>
        <w:tc>
          <w:tcPr>
            <w:tcW w:type="dxa" w:w="5112"/>
          </w:tcPr>
          <w:p>
            <w:r>
              <w:t>Training corpus</w:t>
            </w:r>
          </w:p>
        </w:tc>
        <w:tc>
          <w:tcPr>
            <w:tcW w:type="dxa" w:w="5112"/>
          </w:tcPr>
          <w:p>
            <w:r>
              <w:t>2346 evaluation instances across Hindi, Marathi, Tamil (4.1 hours)</w:t>
            </w:r>
          </w:p>
        </w:tc>
      </w:tr>
      <w:tr>
        <w:tc>
          <w:tcPr>
            <w:tcW w:type="dxa" w:w="5112"/>
          </w:tcPr>
          <w:p>
            <w:r>
              <w:t>Corpus provenance</w:t>
            </w:r>
          </w:p>
        </w:tc>
        <w:tc>
          <w:tcPr>
            <w:tcW w:type="dxa" w:w="5112"/>
          </w:tcPr>
          <w:p>
            <w:r>
              <w:t>speaker-disjoint Kathbath + IndicSynth publication subset</w:t>
            </w:r>
          </w:p>
        </w:tc>
      </w:tr>
      <w:tr>
        <w:tc>
          <w:tcPr>
            <w:tcW w:type="dxa" w:w="5112"/>
          </w:tcPr>
          <w:p>
            <w:r>
              <w:t>Speaker-disjoint split</w:t>
            </w:r>
          </w:p>
        </w:tc>
        <w:tc>
          <w:tcPr>
            <w:tcW w:type="dxa" w:w="5112"/>
          </w:tcPr>
          <w:p>
            <w:r>
              <w:t>Verified</w:t>
            </w:r>
          </w:p>
        </w:tc>
      </w:tr>
      <w:tr>
        <w:tc>
          <w:tcPr>
            <w:tcW w:type="dxa" w:w="5112"/>
          </w:tcPr>
          <w:p>
            <w:r>
              <w:t>Held-out test accuracy</w:t>
            </w:r>
          </w:p>
        </w:tc>
        <w:tc>
          <w:tcPr>
            <w:tcW w:type="dxa" w:w="5112"/>
          </w:tcPr>
          <w:p>
            <w:r>
              <w:t>93.7%</w:t>
            </w:r>
          </w:p>
        </w:tc>
      </w:tr>
      <w:tr>
        <w:tc>
          <w:tcPr>
            <w:tcW w:type="dxa" w:w="5112"/>
          </w:tcPr>
          <w:p>
            <w:r>
              <w:t>Held-out test EER</w:t>
            </w:r>
          </w:p>
        </w:tc>
        <w:tc>
          <w:tcPr>
            <w:tcW w:type="dxa" w:w="5112"/>
          </w:tcPr>
          <w:p>
            <w:r>
              <w:t>6.6%</w:t>
            </w:r>
          </w:p>
        </w:tc>
      </w:tr>
      <w:tr>
        <w:tc>
          <w:tcPr>
            <w:tcW w:type="dxa" w:w="5112"/>
          </w:tcPr>
          <w:p>
            <w:r>
              <w:t>Detection on real publication clip</w:t>
            </w:r>
          </w:p>
        </w:tc>
        <w:tc>
          <w:tcPr>
            <w:tcW w:type="dxa" w:w="5112"/>
          </w:tcPr>
          <w:p>
            <w:r>
              <w:t>REAL (89% confidence)</w:t>
            </w:r>
          </w:p>
        </w:tc>
      </w:tr>
      <w:tr>
        <w:tc>
          <w:tcPr>
            <w:tcW w:type="dxa" w:w="5112"/>
          </w:tcPr>
          <w:p>
            <w:r>
              <w:t>Detection on fake publication clip</w:t>
            </w:r>
          </w:p>
        </w:tc>
        <w:tc>
          <w:tcPr>
            <w:tcW w:type="dxa" w:w="5112"/>
          </w:tcPr>
          <w:p>
            <w:r>
              <w:t>FAKE (84% confidence)</w:t>
            </w:r>
          </w:p>
        </w:tc>
      </w:tr>
      <w:tr>
        <w:tc>
          <w:tcPr>
            <w:tcW w:type="dxa" w:w="5112"/>
          </w:tcPr>
          <w:p>
            <w:r>
              <w:t>Held-out test ECE</w:t>
            </w:r>
          </w:p>
        </w:tc>
        <w:tc>
          <w:tcPr>
            <w:tcW w:type="dxa" w:w="5112"/>
          </w:tcPr>
          <w:p>
            <w:r>
              <w:t>0.042</w:t>
            </w:r>
          </w:p>
        </w:tc>
      </w:tr>
      <w:tr>
        <w:tc>
          <w:tcPr>
            <w:tcW w:type="dxa" w:w="5112"/>
          </w:tcPr>
          <w:p>
            <w:r>
              <w:t>GPU acceleration</w:t>
            </w:r>
          </w:p>
        </w:tc>
        <w:tc>
          <w:tcPr>
            <w:tcW w:type="dxa" w:w="5112"/>
          </w:tcPr>
          <w:p>
            <w:r>
              <w:t>NVIDIA GeForce RTX 3050 6GB Laptop GPU</w:t>
            </w:r>
          </w:p>
        </w:tc>
      </w:tr>
      <w:tr>
        <w:tc>
          <w:tcPr>
            <w:tcW w:type="dxa" w:w="5112"/>
          </w:tcPr>
          <w:p>
            <w:r>
              <w:t>Human study protocol</w:t>
            </w:r>
          </w:p>
        </w:tc>
        <w:tc>
          <w:tcPr>
            <w:tcW w:type="dxa" w:w="5112"/>
          </w:tcPr>
          <w:p>
            <w:r>
              <w:t>Ready — recruitment pending</w:t>
            </w:r>
          </w:p>
        </w:tc>
      </w:tr>
    </w:tbl>
    <w:p/>
    <w:p>
      <w:r>
        <w:br w:type="page"/>
      </w:r>
    </w:p>
    <w:p>
      <w:pPr>
        <w:pStyle w:val="Heading1"/>
      </w:pPr>
      <w:r>
        <w:t>2. Research Questions and Objectives</w:t>
      </w:r>
    </w:p>
    <w:p>
      <w:pPr>
        <w:pStyle w:val="ListBullet"/>
      </w:pPr>
      <w:r>
        <w:t>RQ1: How much does WhatsApp-style Opus compression degrade multilingual deepfake detectors versus clean audio?</w:t>
      </w:r>
    </w:p>
    <w:p>
      <w:pPr>
        <w:pStyle w:val="ListBullet"/>
      </w:pPr>
      <w:r>
        <w:t>RQ2: Does multilingual training (Hindi + Marathi + Tamil) outperform an English-only baseline on Indic and compressed audio?</w:t>
      </w:r>
    </w:p>
    <w:p>
      <w:pPr>
        <w:pStyle w:val="ListBullet"/>
      </w:pPr>
      <w:r>
        <w:t>RQ3: How well does the model generalise zero-shot to a completely unseen Indian language?</w:t>
      </w:r>
    </w:p>
    <w:p>
      <w:pPr>
        <w:pStyle w:val="ListBullet"/>
      </w:pPr>
      <w:r>
        <w:t>RQ4: Does compression degrade calibration — does the model become confidently wrong?</w:t>
      </w:r>
    </w:p>
    <w:p>
      <w:pPr>
        <w:pStyle w:val="ListBullet"/>
      </w:pPr>
      <w:r>
        <w:t>RQ5: How do model detection and confidence calibration compare to a human-listener baseline?</w:t>
      </w:r>
    </w:p>
    <w:p/>
    <w:p>
      <w:r>
        <w:t>Objectives O1–O8 map to dataset construction, compression simulation, model benchmarking, cross-lingual evaluation, calibration, human study, live demo, and open publication.</w:t>
      </w:r>
    </w:p>
    <w:p>
      <w:r>
        <w:br w:type="page"/>
      </w:r>
    </w:p>
    <w:p>
      <w:pPr>
        <w:pStyle w:val="Heading1"/>
      </w:pPr>
      <w:r>
        <w:t>3. System Architecture</w:t>
      </w:r>
    </w:p>
    <w:p>
      <w:r>
        <w:t>VaaniQ follows clean hexagonal architecture. The React web application communicates with a FastAPI backend. Domain logic is isolated from framework code. Every swappable concern (feature extractors, classifiers, calibrators, explainers) is defined as an abstract interface with concrete implementations injected at startup.</w:t>
      </w:r>
    </w:p>
    <w:p>
      <w:r>
        <w:drawing>
          <wp:inline xmlns:a="http://schemas.openxmlformats.org/drawingml/2006/main" xmlns:pic="http://schemas.openxmlformats.org/drawingml/2006/picture">
            <wp:extent cx="6035040" cy="3379622"/>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6035040" cy="3379622"/>
                    </a:xfrm>
                    <a:prstGeom prst="rect"/>
                  </pic:spPr>
                </pic:pic>
              </a:graphicData>
            </a:graphic>
          </wp:inline>
        </w:drawing>
      </w:r>
    </w:p>
    <w:p/>
    <w:p>
      <w:r>
        <w:t>End-to-end ML pipeline:</w:t>
      </w:r>
    </w:p>
    <w:p>
      <w:pPr>
        <w:pStyle w:val="ListNumber"/>
      </w:pPr>
      <w:r>
        <w:t>Audio ingestion (upload, file drop, or live microphone PCM16 stream)</w:t>
      </w:r>
    </w:p>
    <w:p>
      <w:pPr>
        <w:pStyle w:val="ListNumber"/>
      </w:pPr>
      <w:r>
        <w:t>Validation (MIME type, magic bytes, duration, file size limits)</w:t>
      </w:r>
    </w:p>
    <w:p>
      <w:pPr>
        <w:pStyle w:val="ListNumber"/>
      </w:pPr>
      <w:r>
        <w:t>Preprocessing (16 kHz mono, peak normalisation, silence handling)</w:t>
      </w:r>
    </w:p>
    <w:p>
      <w:pPr>
        <w:pStyle w:val="ListNumber"/>
      </w:pPr>
      <w:r>
        <w:t>Optional Opus compression twin for robustness evaluation</w:t>
      </w:r>
    </w:p>
    <w:p>
      <w:pPr>
        <w:pStyle w:val="ListNumber"/>
      </w:pPr>
      <w:r>
        <w:t>Acoustic embedding extraction (demo path) or frozen Wav2Vec2-XLS-R (research path)</w:t>
      </w:r>
    </w:p>
    <w:p>
      <w:pPr>
        <w:pStyle w:val="ListNumber"/>
      </w:pPr>
      <w:r>
        <w:t>AASIST classifier head — lightweight anti-spoofing graph attention network</w:t>
      </w:r>
    </w:p>
    <w:p>
      <w:pPr>
        <w:pStyle w:val="ListNumber"/>
      </w:pPr>
      <w:r>
        <w:t>Temperature scaling calibration per language and compression condition</w:t>
      </w:r>
    </w:p>
    <w:p>
      <w:pPr>
        <w:pStyle w:val="ListNumber"/>
      </w:pPr>
      <w:r>
        <w:t>Reliability badge assignment based on confidence and entropy</w:t>
      </w:r>
    </w:p>
    <w:p>
      <w:pPr>
        <w:pStyle w:val="ListNumber"/>
      </w:pPr>
      <w:r>
        <w:t>Explainability artefact generation (Grad-CAM, bands, spectrogram, compression view)</w:t>
      </w:r>
    </w:p>
    <w:p>
      <w:pPr>
        <w:pStyle w:val="ListNumber"/>
      </w:pPr>
      <w:r>
        <w:t>Optional Whisper transcription and LLM enrichment for accent and risk notes</w:t>
      </w:r>
    </w:p>
    <w:p>
      <w:r>
        <w:drawing>
          <wp:inline xmlns:a="http://schemas.openxmlformats.org/drawingml/2006/main" xmlns:pic="http://schemas.openxmlformats.org/drawingml/2006/picture">
            <wp:extent cx="6035040" cy="2633472"/>
            <wp:docPr id="2" name="Picture 2"/>
            <wp:cNvGraphicFramePr>
              <a:graphicFrameLocks noChangeAspect="1"/>
            </wp:cNvGraphicFramePr>
            <a:graphic>
              <a:graphicData uri="http://schemas.openxmlformats.org/drawingml/2006/picture">
                <pic:pic>
                  <pic:nvPicPr>
                    <pic:cNvPr id="0" name="ml_pipeline.png"/>
                    <pic:cNvPicPr/>
                  </pic:nvPicPr>
                  <pic:blipFill>
                    <a:blip r:embed="rId10"/>
                    <a:stretch>
                      <a:fillRect/>
                    </a:stretch>
                  </pic:blipFill>
                  <pic:spPr>
                    <a:xfrm>
                      <a:off x="0" y="0"/>
                      <a:ext cx="6035040" cy="2633472"/>
                    </a:xfrm>
                    <a:prstGeom prst="rect"/>
                  </pic:spPr>
                </pic:pic>
              </a:graphicData>
            </a:graphic>
          </wp:inline>
        </w:drawing>
      </w:r>
    </w:p>
    <w:p/>
    <w:p>
      <w:r>
        <w:br w:type="page"/>
      </w:r>
    </w:p>
    <w:p>
      <w:pPr>
        <w:pStyle w:val="Heading1"/>
      </w:pPr>
      <w:r>
        <w:t>4. Technology Stack</w:t>
      </w:r>
    </w:p>
    <w:tbl>
      <w:tblPr>
        <w:tblStyle w:val="TableGrid"/>
        <w:tblW w:type="auto" w:w="0"/>
        <w:tblLook w:firstColumn="1" w:firstRow="1" w:lastColumn="0" w:lastRow="0" w:noHBand="0" w:noVBand="1" w:val="04A0"/>
      </w:tblPr>
      <w:tblGrid>
        <w:gridCol w:w="5112"/>
        <w:gridCol w:w="5112"/>
      </w:tblGrid>
      <w:tr>
        <w:tc>
          <w:tcPr>
            <w:tcW w:type="dxa" w:w="5112"/>
          </w:tcPr>
          <w:p>
            <w:r>
              <w:rPr>
                <w:b/>
              </w:rPr>
              <w:t>Layer</w:t>
            </w:r>
          </w:p>
        </w:tc>
        <w:tc>
          <w:tcPr>
            <w:tcW w:type="dxa" w:w="5112"/>
          </w:tcPr>
          <w:p>
            <w:r>
              <w:rPr>
                <w:b/>
              </w:rPr>
              <w:t>Technologies</w:t>
            </w:r>
          </w:p>
        </w:tc>
      </w:tr>
      <w:tr>
        <w:tc>
          <w:tcPr>
            <w:tcW w:type="dxa" w:w="5112"/>
          </w:tcPr>
          <w:p>
            <w:r>
              <w:t>Backend</w:t>
            </w:r>
          </w:p>
        </w:tc>
        <w:tc>
          <w:tcPr>
            <w:tcW w:type="dxa" w:w="5112"/>
          </w:tcPr>
          <w:p>
            <w:r>
              <w:t>Python 3.11, FastAPI, Uvicorn, Pydantic v2, structlog</w:t>
            </w:r>
          </w:p>
        </w:tc>
      </w:tr>
      <w:tr>
        <w:tc>
          <w:tcPr>
            <w:tcW w:type="dxa" w:w="5112"/>
          </w:tcPr>
          <w:p>
            <w:r>
              <w:t>ML</w:t>
            </w:r>
          </w:p>
        </w:tc>
        <w:tc>
          <w:tcPr>
            <w:tcW w:type="dxa" w:w="5112"/>
          </w:tcPr>
          <w:p>
            <w:r>
              <w:t>NumPy AASIST-style demo head, optional PyTorch 2.6 + CUDA, faster-whisper</w:t>
            </w:r>
          </w:p>
        </w:tc>
      </w:tr>
      <w:tr>
        <w:tc>
          <w:tcPr>
            <w:tcW w:type="dxa" w:w="5112"/>
          </w:tcPr>
          <w:p>
            <w:r>
              <w:t>Frontend</w:t>
            </w:r>
          </w:p>
        </w:tc>
        <w:tc>
          <w:tcPr>
            <w:tcW w:type="dxa" w:w="5112"/>
          </w:tcPr>
          <w:p>
            <w:r>
              <w:t>React, TypeScript (strict), Vite, TanStack Query, Tailwind, shadcn/ui</w:t>
            </w:r>
          </w:p>
        </w:tc>
      </w:tr>
      <w:tr>
        <w:tc>
          <w:tcPr>
            <w:tcW w:type="dxa" w:w="5112"/>
          </w:tcPr>
          <w:p>
            <w:r>
              <w:t>GPU</w:t>
            </w:r>
          </w:p>
        </w:tc>
        <w:tc>
          <w:tcPr>
            <w:tcW w:type="dxa" w:w="5112"/>
          </w:tcPr>
          <w:p>
            <w:r>
              <w:t>NVIDIA GeForce RTX 3050 6GB Laptop GPU</w:t>
            </w:r>
          </w:p>
        </w:tc>
      </w:tr>
      <w:tr>
        <w:tc>
          <w:tcPr>
            <w:tcW w:type="dxa" w:w="5112"/>
          </w:tcPr>
          <w:p>
            <w:r>
              <w:t>Languages</w:t>
            </w:r>
          </w:p>
        </w:tc>
        <w:tc>
          <w:tcPr>
            <w:tcW w:type="dxa" w:w="5112"/>
          </w:tcPr>
          <w:p>
            <w:r>
              <w:t>Hindi, Marathi, Tamil (Telugu explicitly excluded)</w:t>
            </w:r>
          </w:p>
        </w:tc>
      </w:tr>
      <w:tr>
        <w:tc>
          <w:tcPr>
            <w:tcW w:type="dxa" w:w="5112"/>
          </w:tcPr>
          <w:p>
            <w:r>
              <w:t>Testing</w:t>
            </w:r>
          </w:p>
        </w:tc>
        <w:tc>
          <w:tcPr>
            <w:tcW w:type="dxa" w:w="5112"/>
          </w:tcPr>
          <w:p>
            <w:r>
              <w:t>pytest (84.76% coverage), Vitest + React Testing Library</w:t>
            </w:r>
          </w:p>
        </w:tc>
      </w:tr>
    </w:tbl>
    <w:p/>
    <w:p>
      <w:r>
        <w:br w:type="page"/>
      </w:r>
    </w:p>
    <w:p>
      <w:pPr>
        <w:pStyle w:val="Heading1"/>
      </w:pPr>
      <w:r>
        <w:t>5. Dataset and Corpus</w:t>
      </w:r>
    </w:p>
    <w:p>
      <w:r>
        <w:t>The measured corpus is a reproducible, balanced subset of human-labelled Kathbath bonafide speech and IndicSynth generated speech for Hindi, Marathi, and Tamil. Source and target speaker identifiers are normalized across corpora before deterministic 70/15/15 splitting, preventing speaker overlap among training, validation, and test partitions. Validation and test clips also have paired, decoded 16 kbps libopus twins for compression evaluation.</w:t>
      </w:r>
    </w:p>
    <w:tbl>
      <w:tblPr>
        <w:tblStyle w:val="TableGrid"/>
        <w:tblW w:type="auto" w:w="0"/>
        <w:tblLook w:firstColumn="1" w:firstRow="1" w:lastColumn="0" w:lastRow="0" w:noHBand="0" w:noVBand="1" w:val="04A0"/>
      </w:tblPr>
      <w:tblGrid>
        <w:gridCol w:w="5112"/>
        <w:gridCol w:w="5112"/>
      </w:tblGrid>
      <w:tr>
        <w:tc>
          <w:tcPr>
            <w:tcW w:type="dxa" w:w="5112"/>
          </w:tcPr>
          <w:p>
            <w:r>
              <w:rPr>
                <w:b/>
              </w:rPr>
              <w:t>Statistic</w:t>
            </w:r>
          </w:p>
        </w:tc>
        <w:tc>
          <w:tcPr>
            <w:tcW w:type="dxa" w:w="5112"/>
          </w:tcPr>
          <w:p>
            <w:r>
              <w:rPr>
                <w:b/>
              </w:rPr>
              <w:t>Value</w:t>
            </w:r>
          </w:p>
        </w:tc>
      </w:tr>
      <w:tr>
        <w:tc>
          <w:tcPr>
            <w:tcW w:type="dxa" w:w="5112"/>
          </w:tcPr>
          <w:p>
            <w:r>
              <w:t>Evaluation instances</w:t>
            </w:r>
          </w:p>
        </w:tc>
        <w:tc>
          <w:tcPr>
            <w:tcW w:type="dxa" w:w="5112"/>
          </w:tcPr>
          <w:p>
            <w:r>
              <w:t>2346</w:t>
            </w:r>
          </w:p>
        </w:tc>
      </w:tr>
      <w:tr>
        <w:tc>
          <w:tcPr>
            <w:tcW w:type="dxa" w:w="5112"/>
          </w:tcPr>
          <w:p>
            <w:r>
              <w:t>Evaluation hours</w:t>
            </w:r>
          </w:p>
        </w:tc>
        <w:tc>
          <w:tcPr>
            <w:tcW w:type="dxa" w:w="5112"/>
          </w:tcPr>
          <w:p>
            <w:r>
              <w:t>4.11</w:t>
            </w:r>
          </w:p>
        </w:tc>
      </w:tr>
      <w:tr>
        <w:tc>
          <w:tcPr>
            <w:tcW w:type="dxa" w:w="5112"/>
          </w:tcPr>
          <w:p>
            <w:r>
              <w:t>Original source clips</w:t>
            </w:r>
          </w:p>
        </w:tc>
        <w:tc>
          <w:tcPr>
            <w:tcW w:type="dxa" w:w="5112"/>
          </w:tcPr>
          <w:p>
            <w:r>
              <w:t>1800</w:t>
            </w:r>
          </w:p>
        </w:tc>
      </w:tr>
      <w:tr>
        <w:tc>
          <w:tcPr>
            <w:tcW w:type="dxa" w:w="5112"/>
          </w:tcPr>
          <w:p>
            <w:r>
              <w:t>Original source hours</w:t>
            </w:r>
          </w:p>
        </w:tc>
        <w:tc>
          <w:tcPr>
            <w:tcW w:type="dxa" w:w="5112"/>
          </w:tcPr>
          <w:p>
            <w:r>
              <w:t>3.15</w:t>
            </w:r>
          </w:p>
        </w:tc>
      </w:tr>
      <w:tr>
        <w:tc>
          <w:tcPr>
            <w:tcW w:type="dxa" w:w="5112"/>
          </w:tcPr>
          <w:p>
            <w:r>
              <w:t>Hindi source clips</w:t>
            </w:r>
          </w:p>
        </w:tc>
        <w:tc>
          <w:tcPr>
            <w:tcW w:type="dxa" w:w="5112"/>
          </w:tcPr>
          <w:p>
            <w:r>
              <w:t>600</w:t>
            </w:r>
          </w:p>
        </w:tc>
      </w:tr>
      <w:tr>
        <w:tc>
          <w:tcPr>
            <w:tcW w:type="dxa" w:w="5112"/>
          </w:tcPr>
          <w:p>
            <w:r>
              <w:t>Marathi source clips</w:t>
            </w:r>
          </w:p>
        </w:tc>
        <w:tc>
          <w:tcPr>
            <w:tcW w:type="dxa" w:w="5112"/>
          </w:tcPr>
          <w:p>
            <w:r>
              <w:t>600</w:t>
            </w:r>
          </w:p>
        </w:tc>
      </w:tr>
      <w:tr>
        <w:tc>
          <w:tcPr>
            <w:tcW w:type="dxa" w:w="5112"/>
          </w:tcPr>
          <w:p>
            <w:r>
              <w:t>Tamil source clips</w:t>
            </w:r>
          </w:p>
        </w:tc>
        <w:tc>
          <w:tcPr>
            <w:tcW w:type="dxa" w:w="5112"/>
          </w:tcPr>
          <w:p>
            <w:r>
              <w:t>600</w:t>
            </w:r>
          </w:p>
        </w:tc>
      </w:tr>
      <w:tr>
        <w:tc>
          <w:tcPr>
            <w:tcW w:type="dxa" w:w="5112"/>
          </w:tcPr>
          <w:p>
            <w:r>
              <w:t>Kathbath real labels</w:t>
            </w:r>
          </w:p>
        </w:tc>
        <w:tc>
          <w:tcPr>
            <w:tcW w:type="dxa" w:w="5112"/>
          </w:tcPr>
          <w:p>
            <w:r>
              <w:t>900</w:t>
            </w:r>
          </w:p>
        </w:tc>
      </w:tr>
      <w:tr>
        <w:tc>
          <w:tcPr>
            <w:tcW w:type="dxa" w:w="5112"/>
          </w:tcPr>
          <w:p>
            <w:r>
              <w:t>IndicSynth fake labels</w:t>
            </w:r>
          </w:p>
        </w:tc>
        <w:tc>
          <w:tcPr>
            <w:tcW w:type="dxa" w:w="5112"/>
          </w:tcPr>
          <w:p>
            <w:r>
              <w:t>900</w:t>
            </w:r>
          </w:p>
        </w:tc>
      </w:tr>
      <w:tr>
        <w:tc>
          <w:tcPr>
            <w:tcW w:type="dxa" w:w="5112"/>
          </w:tcPr>
          <w:p>
            <w:r>
              <w:t>Training split instances</w:t>
            </w:r>
          </w:p>
        </w:tc>
        <w:tc>
          <w:tcPr>
            <w:tcW w:type="dxa" w:w="5112"/>
          </w:tcPr>
          <w:p>
            <w:r>
              <w:t>1254</w:t>
            </w:r>
          </w:p>
        </w:tc>
      </w:tr>
      <w:tr>
        <w:tc>
          <w:tcPr>
            <w:tcW w:type="dxa" w:w="5112"/>
          </w:tcPr>
          <w:p>
            <w:r>
              <w:t>Validation split instances</w:t>
            </w:r>
          </w:p>
        </w:tc>
        <w:tc>
          <w:tcPr>
            <w:tcW w:type="dxa" w:w="5112"/>
          </w:tcPr>
          <w:p>
            <w:r>
              <w:t>508</w:t>
            </w:r>
          </w:p>
        </w:tc>
      </w:tr>
      <w:tr>
        <w:tc>
          <w:tcPr>
            <w:tcW w:type="dxa" w:w="5112"/>
          </w:tcPr>
          <w:p>
            <w:r>
              <w:t>Held-out test instances</w:t>
            </w:r>
          </w:p>
        </w:tc>
        <w:tc>
          <w:tcPr>
            <w:tcW w:type="dxa" w:w="5112"/>
          </w:tcPr>
          <w:p>
            <w:r>
              <w:t>584</w:t>
            </w:r>
          </w:p>
        </w:tc>
      </w:tr>
      <w:tr>
        <w:tc>
          <w:tcPr>
            <w:tcW w:type="dxa" w:w="5112"/>
          </w:tcPr>
          <w:p>
            <w:r>
              <w:t>Data provenance</w:t>
            </w:r>
          </w:p>
        </w:tc>
        <w:tc>
          <w:tcPr>
            <w:tcW w:type="dxa" w:w="5112"/>
          </w:tcPr>
          <w:p>
            <w:r>
              <w:t>kathbath_real_plus_indicsynth_fake_publication_subset</w:t>
            </w:r>
          </w:p>
        </w:tc>
      </w:tr>
    </w:tbl>
    <w:p/>
    <w:p>
      <w:r>
        <w:t>Kathbath access terms were accepted by the authenticated user. IndicSynth is used under CC BY-NC 4.0 for non-commercial academic research. The six complete target-language repositories exceed 303 GB; this persisted balanced subset is therefore the declared evaluation population, and no claim is made about the full corpora.</w:t>
      </w:r>
    </w:p>
    <w:p>
      <w:r>
        <w:br w:type="page"/>
      </w:r>
    </w:p>
    <w:p>
      <w:pPr>
        <w:pStyle w:val="Heading1"/>
      </w:pPr>
      <w:r>
        <w:t>6. Model Training and Calibration</w:t>
      </w:r>
    </w:p>
    <w:p>
      <w:r>
        <w:t>The AASIST-style classifier head was trained on the speaker-disjoint Kathbath + IndicSynth publication subset using the versioned manifest train split. Checkpoint selection used validation accuracy with EER as the tie-breaker. The test split was excluded from training and checkpoint selection. Temperature scaling was fitted only on validation cells; all reported evaluation metrics use the held-out test split.</w:t>
      </w:r>
    </w:p>
    <w:tbl>
      <w:tblPr>
        <w:tblStyle w:val="TableGrid"/>
        <w:tblW w:type="auto" w:w="0"/>
        <w:tblLook w:firstColumn="1" w:firstRow="1" w:lastColumn="0" w:lastRow="0" w:noHBand="0" w:noVBand="1" w:val="04A0"/>
      </w:tblPr>
      <w:tblGrid>
        <w:gridCol w:w="5112"/>
        <w:gridCol w:w="5112"/>
      </w:tblGrid>
      <w:tr>
        <w:tc>
          <w:tcPr>
            <w:tcW w:type="dxa" w:w="5112"/>
          </w:tcPr>
          <w:p>
            <w:r>
              <w:rPr>
                <w:b/>
              </w:rPr>
              <w:t>Parameter</w:t>
            </w:r>
          </w:p>
        </w:tc>
        <w:tc>
          <w:tcPr>
            <w:tcW w:type="dxa" w:w="5112"/>
          </w:tcPr>
          <w:p>
            <w:r>
              <w:rPr>
                <w:b/>
              </w:rPr>
              <w:t>Value</w:t>
            </w:r>
          </w:p>
        </w:tc>
      </w:tr>
      <w:tr>
        <w:tc>
          <w:tcPr>
            <w:tcW w:type="dxa" w:w="5112"/>
          </w:tcPr>
          <w:p>
            <w:r>
              <w:t>Model</w:t>
            </w:r>
          </w:p>
        </w:tc>
        <w:tc>
          <w:tcPr>
            <w:tcW w:type="dxa" w:w="5112"/>
          </w:tcPr>
          <w:p>
            <w:r>
              <w:t>AASIST-compatible NumPy anti-spoofing head</w:t>
            </w:r>
          </w:p>
        </w:tc>
      </w:tr>
      <w:tr>
        <w:tc>
          <w:tcPr>
            <w:tcW w:type="dxa" w:w="5112"/>
          </w:tcPr>
          <w:p>
            <w:r>
              <w:t>Feature front-end</w:t>
            </w:r>
          </w:p>
        </w:tc>
        <w:tc>
          <w:tcPr>
            <w:tcW w:type="dxa" w:w="5112"/>
          </w:tcPr>
          <w:p>
            <w:r>
              <w:t>Deterministic 1024-D acoustic embedding</w:t>
            </w:r>
          </w:p>
        </w:tc>
      </w:tr>
      <w:tr>
        <w:tc>
          <w:tcPr>
            <w:tcW w:type="dxa" w:w="5112"/>
          </w:tcPr>
          <w:p>
            <w:r>
              <w:t>Corpus</w:t>
            </w:r>
          </w:p>
        </w:tc>
        <w:tc>
          <w:tcPr>
            <w:tcW w:type="dxa" w:w="5112"/>
          </w:tcPr>
          <w:p>
            <w:r>
              <w:t>speaker-disjoint Kathbath + IndicSynth publication subset</w:t>
            </w:r>
          </w:p>
        </w:tc>
      </w:tr>
      <w:tr>
        <w:tc>
          <w:tcPr>
            <w:tcW w:type="dxa" w:w="5112"/>
          </w:tcPr>
          <w:p>
            <w:r>
              <w:t>Speaker leakage check</w:t>
            </w:r>
          </w:p>
        </w:tc>
        <w:tc>
          <w:tcPr>
            <w:tcW w:type="dxa" w:w="5112"/>
          </w:tcPr>
          <w:p>
            <w:r>
              <w:t>PASS</w:t>
            </w:r>
          </w:p>
        </w:tc>
      </w:tr>
      <w:tr>
        <w:tc>
          <w:tcPr>
            <w:tcW w:type="dxa" w:w="5112"/>
          </w:tcPr>
          <w:p>
            <w:r>
              <w:t>Training clips</w:t>
            </w:r>
          </w:p>
        </w:tc>
        <w:tc>
          <w:tcPr>
            <w:tcW w:type="dxa" w:w="5112"/>
          </w:tcPr>
          <w:p>
            <w:r>
              <w:t>1254</w:t>
            </w:r>
          </w:p>
        </w:tc>
      </w:tr>
      <w:tr>
        <w:tc>
          <w:tcPr>
            <w:tcW w:type="dxa" w:w="5112"/>
          </w:tcPr>
          <w:p>
            <w:r>
              <w:t>Validation clips</w:t>
            </w:r>
          </w:p>
        </w:tc>
        <w:tc>
          <w:tcPr>
            <w:tcW w:type="dxa" w:w="5112"/>
          </w:tcPr>
          <w:p>
            <w:r>
              <w:t>508</w:t>
            </w:r>
          </w:p>
        </w:tc>
      </w:tr>
      <w:tr>
        <w:tc>
          <w:tcPr>
            <w:tcW w:type="dxa" w:w="5112"/>
          </w:tcPr>
          <w:p>
            <w:r>
              <w:t>Held-out test clips</w:t>
            </w:r>
          </w:p>
        </w:tc>
        <w:tc>
          <w:tcPr>
            <w:tcW w:type="dxa" w:w="5112"/>
          </w:tcPr>
          <w:p>
            <w:r>
              <w:t>584</w:t>
            </w:r>
          </w:p>
        </w:tc>
      </w:tr>
      <w:tr>
        <w:tc>
          <w:tcPr>
            <w:tcW w:type="dxa" w:w="5112"/>
          </w:tcPr>
          <w:p>
            <w:r>
              <w:t>Validation accuracy</w:t>
            </w:r>
          </w:p>
        </w:tc>
        <w:tc>
          <w:tcPr>
            <w:tcW w:type="dxa" w:w="5112"/>
          </w:tcPr>
          <w:p>
            <w:r>
              <w:t>88.2%</w:t>
            </w:r>
          </w:p>
        </w:tc>
      </w:tr>
      <w:tr>
        <w:tc>
          <w:tcPr>
            <w:tcW w:type="dxa" w:w="5112"/>
          </w:tcPr>
          <w:p>
            <w:r>
              <w:t>Held-out test accuracy</w:t>
            </w:r>
          </w:p>
        </w:tc>
        <w:tc>
          <w:tcPr>
            <w:tcW w:type="dxa" w:w="5112"/>
          </w:tcPr>
          <w:p>
            <w:r>
              <w:t>93.7%</w:t>
            </w:r>
          </w:p>
        </w:tc>
      </w:tr>
      <w:tr>
        <w:tc>
          <w:tcPr>
            <w:tcW w:type="dxa" w:w="5112"/>
          </w:tcPr>
          <w:p>
            <w:r>
              <w:t>Held-out test EER</w:t>
            </w:r>
          </w:p>
        </w:tc>
        <w:tc>
          <w:tcPr>
            <w:tcW w:type="dxa" w:w="5112"/>
          </w:tcPr>
          <w:p>
            <w:r>
              <w:t>6.6%</w:t>
            </w:r>
          </w:p>
        </w:tc>
      </w:tr>
      <w:tr>
        <w:tc>
          <w:tcPr>
            <w:tcW w:type="dxa" w:w="5112"/>
          </w:tcPr>
          <w:p>
            <w:r>
              <w:t>Held-out test ROC-AUC</w:t>
            </w:r>
          </w:p>
        </w:tc>
        <w:tc>
          <w:tcPr>
            <w:tcW w:type="dxa" w:w="5112"/>
          </w:tcPr>
          <w:p>
            <w:r>
              <w:t>0.974</w:t>
            </w:r>
          </w:p>
        </w:tc>
      </w:tr>
      <w:tr>
        <w:tc>
          <w:tcPr>
            <w:tcW w:type="dxa" w:w="5112"/>
          </w:tcPr>
          <w:p>
            <w:r>
              <w:t>Held-out test ECE</w:t>
            </w:r>
          </w:p>
        </w:tc>
        <w:tc>
          <w:tcPr>
            <w:tcW w:type="dxa" w:w="5112"/>
          </w:tcPr>
          <w:p>
            <w:r>
              <w:t>0.042</w:t>
            </w:r>
          </w:p>
        </w:tc>
      </w:tr>
      <w:tr>
        <w:tc>
          <w:tcPr>
            <w:tcW w:type="dxa" w:w="5112"/>
          </w:tcPr>
          <w:p>
            <w:r>
              <w:t>Held-out test Brier</w:t>
            </w:r>
          </w:p>
        </w:tc>
        <w:tc>
          <w:tcPr>
            <w:tcW w:type="dxa" w:w="5112"/>
          </w:tcPr>
          <w:p>
            <w:r>
              <w:t>0.059</w:t>
            </w:r>
          </w:p>
        </w:tc>
      </w:tr>
      <w:tr>
        <w:tc>
          <w:tcPr>
            <w:tcW w:type="dxa" w:w="5112"/>
          </w:tcPr>
          <w:p>
            <w:r>
              <w:t>Pipeline status</w:t>
            </w:r>
          </w:p>
        </w:tc>
        <w:tc>
          <w:tcPr>
            <w:tcW w:type="dxa" w:w="5112"/>
          </w:tcPr>
          <w:p>
            <w:r>
              <w:t>trained_calibrated</w:t>
            </w:r>
          </w:p>
        </w:tc>
      </w:tr>
    </w:tbl>
    <w:p/>
    <w:p>
      <w:pPr>
        <w:pStyle w:val="Heading2"/>
      </w:pPr>
      <w:r>
        <w:t>Temperature Scaling Table</w:t>
      </w:r>
    </w:p>
    <w:tbl>
      <w:tblPr>
        <w:tblStyle w:val="TableGrid"/>
        <w:tblW w:type="auto" w:w="0"/>
        <w:tblLook w:firstColumn="1" w:firstRow="1" w:lastColumn="0" w:lastRow="0" w:noHBand="0" w:noVBand="1" w:val="04A0"/>
      </w:tblPr>
      <w:tblGrid>
        <w:gridCol w:w="5112"/>
        <w:gridCol w:w="5112"/>
      </w:tblGrid>
      <w:tr>
        <w:tc>
          <w:tcPr>
            <w:tcW w:type="dxa" w:w="5112"/>
          </w:tcPr>
          <w:p>
            <w:r>
              <w:rPr>
                <w:b/>
              </w:rPr>
              <w:t>Language / Condition</w:t>
            </w:r>
          </w:p>
        </w:tc>
        <w:tc>
          <w:tcPr>
            <w:tcW w:type="dxa" w:w="5112"/>
          </w:tcPr>
          <w:p>
            <w:r>
              <w:rPr>
                <w:b/>
              </w:rPr>
              <w:t>Temperature T</w:t>
            </w:r>
          </w:p>
        </w:tc>
      </w:tr>
      <w:tr>
        <w:tc>
          <w:tcPr>
            <w:tcW w:type="dxa" w:w="5112"/>
          </w:tcPr>
          <w:p>
            <w:r>
              <w:t>hi / clean</w:t>
            </w:r>
          </w:p>
        </w:tc>
        <w:tc>
          <w:tcPr>
            <w:tcW w:type="dxa" w:w="5112"/>
          </w:tcPr>
          <w:p>
            <w:r>
              <w:t>0.700</w:t>
            </w:r>
          </w:p>
        </w:tc>
      </w:tr>
      <w:tr>
        <w:tc>
          <w:tcPr>
            <w:tcW w:type="dxa" w:w="5112"/>
          </w:tcPr>
          <w:p>
            <w:r>
              <w:t>hi / opus_whatsapp_sim</w:t>
            </w:r>
          </w:p>
        </w:tc>
        <w:tc>
          <w:tcPr>
            <w:tcW w:type="dxa" w:w="5112"/>
          </w:tcPr>
          <w:p>
            <w:r>
              <w:t>0.600</w:t>
            </w:r>
          </w:p>
        </w:tc>
      </w:tr>
      <w:tr>
        <w:tc>
          <w:tcPr>
            <w:tcW w:type="dxa" w:w="5112"/>
          </w:tcPr>
          <w:p>
            <w:r>
              <w:t>mr / clean</w:t>
            </w:r>
          </w:p>
        </w:tc>
        <w:tc>
          <w:tcPr>
            <w:tcW w:type="dxa" w:w="5112"/>
          </w:tcPr>
          <w:p>
            <w:r>
              <w:t>0.500</w:t>
            </w:r>
          </w:p>
        </w:tc>
      </w:tr>
      <w:tr>
        <w:tc>
          <w:tcPr>
            <w:tcW w:type="dxa" w:w="5112"/>
          </w:tcPr>
          <w:p>
            <w:r>
              <w:t>mr / opus_whatsapp_sim</w:t>
            </w:r>
          </w:p>
        </w:tc>
        <w:tc>
          <w:tcPr>
            <w:tcW w:type="dxa" w:w="5112"/>
          </w:tcPr>
          <w:p>
            <w:r>
              <w:t>0.500</w:t>
            </w:r>
          </w:p>
        </w:tc>
      </w:tr>
      <w:tr>
        <w:tc>
          <w:tcPr>
            <w:tcW w:type="dxa" w:w="5112"/>
          </w:tcPr>
          <w:p>
            <w:r>
              <w:t>ta / clean</w:t>
            </w:r>
          </w:p>
        </w:tc>
        <w:tc>
          <w:tcPr>
            <w:tcW w:type="dxa" w:w="5112"/>
          </w:tcPr>
          <w:p>
            <w:r>
              <w:t>1.800</w:t>
            </w:r>
          </w:p>
        </w:tc>
      </w:tr>
      <w:tr>
        <w:tc>
          <w:tcPr>
            <w:tcW w:type="dxa" w:w="5112"/>
          </w:tcPr>
          <w:p>
            <w:r>
              <w:t>ta / opus_whatsapp_sim</w:t>
            </w:r>
          </w:p>
        </w:tc>
        <w:tc>
          <w:tcPr>
            <w:tcW w:type="dxa" w:w="5112"/>
          </w:tcPr>
          <w:p>
            <w:r>
              <w:t>1.800</w:t>
            </w:r>
          </w:p>
        </w:tc>
      </w:tr>
    </w:tbl>
    <w:p/>
    <w:p>
      <w:r>
        <w:br w:type="page"/>
      </w:r>
    </w:p>
    <w:p>
      <w:pPr>
        <w:pStyle w:val="Heading1"/>
      </w:pPr>
      <w:r>
        <w:t>7. Metrics and Evaluation</w:t>
      </w:r>
    </w:p>
    <w:p>
      <w:r>
        <w:t>VaaniQ evaluates detection using Equal Error Rate (EER), minimum Detection Cost Function (min-DCF), accuracy, precision, recall, F1, and ROC-AUC. Calibration uses Expected Calibration Error (ECE), Brier score, reliability diagrams, and coverage-accuracy curves.</w:t>
      </w:r>
    </w:p>
    <w:tbl>
      <w:tblPr>
        <w:tblStyle w:val="TableGrid"/>
        <w:tblW w:type="auto" w:w="0"/>
        <w:tblLook w:firstColumn="1" w:firstRow="1" w:lastColumn="0" w:lastRow="0" w:noHBand="0" w:noVBand="1" w:val="04A0"/>
      </w:tblPr>
      <w:tblGrid>
        <w:gridCol w:w="5112"/>
        <w:gridCol w:w="5112"/>
      </w:tblGrid>
      <w:tr>
        <w:tc>
          <w:tcPr>
            <w:tcW w:type="dxa" w:w="5112"/>
          </w:tcPr>
          <w:p>
            <w:r>
              <w:rPr>
                <w:b/>
              </w:rPr>
              <w:t>Metric</w:t>
            </w:r>
          </w:p>
        </w:tc>
        <w:tc>
          <w:tcPr>
            <w:tcW w:type="dxa" w:w="5112"/>
          </w:tcPr>
          <w:p>
            <w:r>
              <w:rPr>
                <w:b/>
              </w:rPr>
              <w:t>Value</w:t>
            </w:r>
          </w:p>
        </w:tc>
      </w:tr>
      <w:tr>
        <w:tc>
          <w:tcPr>
            <w:tcW w:type="dxa" w:w="5112"/>
          </w:tcPr>
          <w:p>
            <w:r>
              <w:t>EER (held-out test)</w:t>
            </w:r>
          </w:p>
        </w:tc>
        <w:tc>
          <w:tcPr>
            <w:tcW w:type="dxa" w:w="5112"/>
          </w:tcPr>
          <w:p>
            <w:r>
              <w:t>6.6%</w:t>
            </w:r>
          </w:p>
        </w:tc>
      </w:tr>
      <w:tr>
        <w:tc>
          <w:tcPr>
            <w:tcW w:type="dxa" w:w="5112"/>
          </w:tcPr>
          <w:p>
            <w:r>
              <w:t>min-DCF</w:t>
            </w:r>
          </w:p>
        </w:tc>
        <w:tc>
          <w:tcPr>
            <w:tcW w:type="dxa" w:w="5112"/>
          </w:tcPr>
          <w:p>
            <w:r>
              <w:t>0.787</w:t>
            </w:r>
          </w:p>
        </w:tc>
      </w:tr>
      <w:tr>
        <w:tc>
          <w:tcPr>
            <w:tcW w:type="dxa" w:w="5112"/>
          </w:tcPr>
          <w:p>
            <w:r>
              <w:t>Accuracy (held-out test)</w:t>
            </w:r>
          </w:p>
        </w:tc>
        <w:tc>
          <w:tcPr>
            <w:tcW w:type="dxa" w:w="5112"/>
          </w:tcPr>
          <w:p>
            <w:r>
              <w:t>93.7%</w:t>
            </w:r>
          </w:p>
        </w:tc>
      </w:tr>
      <w:tr>
        <w:tc>
          <w:tcPr>
            <w:tcW w:type="dxa" w:w="5112"/>
          </w:tcPr>
          <w:p>
            <w:r>
              <w:t>Precision</w:t>
            </w:r>
          </w:p>
        </w:tc>
        <w:tc>
          <w:tcPr>
            <w:tcW w:type="dxa" w:w="5112"/>
          </w:tcPr>
          <w:p>
            <w:r>
              <w:t>89.8%</w:t>
            </w:r>
          </w:p>
        </w:tc>
      </w:tr>
      <w:tr>
        <w:tc>
          <w:tcPr>
            <w:tcW w:type="dxa" w:w="5112"/>
          </w:tcPr>
          <w:p>
            <w:r>
              <w:t>Recall</w:t>
            </w:r>
          </w:p>
        </w:tc>
        <w:tc>
          <w:tcPr>
            <w:tcW w:type="dxa" w:w="5112"/>
          </w:tcPr>
          <w:p>
            <w:r>
              <w:t>97.0%</w:t>
            </w:r>
          </w:p>
        </w:tc>
      </w:tr>
      <w:tr>
        <w:tc>
          <w:tcPr>
            <w:tcW w:type="dxa" w:w="5112"/>
          </w:tcPr>
          <w:p>
            <w:r>
              <w:t>F1 score</w:t>
            </w:r>
          </w:p>
        </w:tc>
        <w:tc>
          <w:tcPr>
            <w:tcW w:type="dxa" w:w="5112"/>
          </w:tcPr>
          <w:p>
            <w:r>
              <w:t>93.3%</w:t>
            </w:r>
          </w:p>
        </w:tc>
      </w:tr>
      <w:tr>
        <w:tc>
          <w:tcPr>
            <w:tcW w:type="dxa" w:w="5112"/>
          </w:tcPr>
          <w:p>
            <w:r>
              <w:t>ROC-AUC</w:t>
            </w:r>
          </w:p>
        </w:tc>
        <w:tc>
          <w:tcPr>
            <w:tcW w:type="dxa" w:w="5112"/>
          </w:tcPr>
          <w:p>
            <w:r>
              <w:t>0.974</w:t>
            </w:r>
          </w:p>
        </w:tc>
      </w:tr>
      <w:tr>
        <w:tc>
          <w:tcPr>
            <w:tcW w:type="dxa" w:w="5112"/>
          </w:tcPr>
          <w:p>
            <w:r>
              <w:t>ECE (post-calibration)</w:t>
            </w:r>
          </w:p>
        </w:tc>
        <w:tc>
          <w:tcPr>
            <w:tcW w:type="dxa" w:w="5112"/>
          </w:tcPr>
          <w:p>
            <w:r>
              <w:t>0.042</w:t>
            </w:r>
          </w:p>
        </w:tc>
      </w:tr>
      <w:tr>
        <w:tc>
          <w:tcPr>
            <w:tcW w:type="dxa" w:w="5112"/>
          </w:tcPr>
          <w:p>
            <w:r>
              <w:t>Brier (post-calibration)</w:t>
            </w:r>
          </w:p>
        </w:tc>
        <w:tc>
          <w:tcPr>
            <w:tcW w:type="dxa" w:w="5112"/>
          </w:tcPr>
          <w:p>
            <w:r>
              <w:t>0.059</w:t>
            </w:r>
          </w:p>
        </w:tc>
      </w:tr>
    </w:tbl>
    <w:p/>
    <w:p>
      <w:pPr>
        <w:pStyle w:val="Heading2"/>
      </w:pPr>
      <w:r>
        <w:t>Per-Language Held-Out Test Metrics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rPr>
              <w:t>Language</w:t>
            </w:r>
          </w:p>
        </w:tc>
        <w:tc>
          <w:tcPr>
            <w:tcW w:type="dxa" w:w="2045"/>
          </w:tcPr>
          <w:p>
            <w:r>
              <w:rPr>
                <w:b/>
              </w:rPr>
              <w:t>n</w:t>
            </w:r>
          </w:p>
        </w:tc>
        <w:tc>
          <w:tcPr>
            <w:tcW w:type="dxa" w:w="2045"/>
          </w:tcPr>
          <w:p>
            <w:r>
              <w:rPr>
                <w:b/>
              </w:rPr>
              <w:t>Accuracy</w:t>
            </w:r>
          </w:p>
        </w:tc>
        <w:tc>
          <w:tcPr>
            <w:tcW w:type="dxa" w:w="2045"/>
          </w:tcPr>
          <w:p>
            <w:r>
              <w:rPr>
                <w:b/>
              </w:rPr>
              <w:t>EER</w:t>
            </w:r>
          </w:p>
        </w:tc>
        <w:tc>
          <w:tcPr>
            <w:tcW w:type="dxa" w:w="2045"/>
          </w:tcPr>
          <w:p>
            <w:r>
              <w:rPr>
                <w:b/>
              </w:rPr>
              <w:t>F1</w:t>
            </w:r>
          </w:p>
        </w:tc>
      </w:tr>
      <w:tr>
        <w:tc>
          <w:tcPr>
            <w:tcW w:type="dxa" w:w="2045"/>
          </w:tcPr>
          <w:p>
            <w:r>
              <w:t>Hindi</w:t>
            </w:r>
          </w:p>
        </w:tc>
        <w:tc>
          <w:tcPr>
            <w:tcW w:type="dxa" w:w="2045"/>
          </w:tcPr>
          <w:p>
            <w:r>
              <w:t>222</w:t>
            </w:r>
          </w:p>
        </w:tc>
        <w:tc>
          <w:tcPr>
            <w:tcW w:type="dxa" w:w="2045"/>
          </w:tcPr>
          <w:p>
            <w:r>
              <w:t>93.7%</w:t>
            </w:r>
          </w:p>
        </w:tc>
        <w:tc>
          <w:tcPr>
            <w:tcW w:type="dxa" w:w="2045"/>
          </w:tcPr>
          <w:p>
            <w:r>
              <w:t>5.6%</w:t>
            </w:r>
          </w:p>
        </w:tc>
        <w:tc>
          <w:tcPr>
            <w:tcW w:type="dxa" w:w="2045"/>
          </w:tcPr>
          <w:p>
            <w:r>
              <w:t>91.9%</w:t>
            </w:r>
          </w:p>
        </w:tc>
      </w:tr>
      <w:tr>
        <w:tc>
          <w:tcPr>
            <w:tcW w:type="dxa" w:w="2045"/>
          </w:tcPr>
          <w:p>
            <w:r>
              <w:t>Marathi</w:t>
            </w:r>
          </w:p>
        </w:tc>
        <w:tc>
          <w:tcPr>
            <w:tcW w:type="dxa" w:w="2045"/>
          </w:tcPr>
          <w:p>
            <w:r>
              <w:t>164</w:t>
            </w:r>
          </w:p>
        </w:tc>
        <w:tc>
          <w:tcPr>
            <w:tcW w:type="dxa" w:w="2045"/>
          </w:tcPr>
          <w:p>
            <w:r>
              <w:t>93.9%</w:t>
            </w:r>
          </w:p>
        </w:tc>
        <w:tc>
          <w:tcPr>
            <w:tcW w:type="dxa" w:w="2045"/>
          </w:tcPr>
          <w:p>
            <w:r>
              <w:t>6.2%</w:t>
            </w:r>
          </w:p>
        </w:tc>
        <w:tc>
          <w:tcPr>
            <w:tcW w:type="dxa" w:w="2045"/>
          </w:tcPr>
          <w:p>
            <w:r>
              <w:t>95.5%</w:t>
            </w:r>
          </w:p>
        </w:tc>
      </w:tr>
      <w:tr>
        <w:tc>
          <w:tcPr>
            <w:tcW w:type="dxa" w:w="2045"/>
          </w:tcPr>
          <w:p>
            <w:r>
              <w:t>Tamil</w:t>
            </w:r>
          </w:p>
        </w:tc>
        <w:tc>
          <w:tcPr>
            <w:tcW w:type="dxa" w:w="2045"/>
          </w:tcPr>
          <w:p>
            <w:r>
              <w:t>198</w:t>
            </w:r>
          </w:p>
        </w:tc>
        <w:tc>
          <w:tcPr>
            <w:tcW w:type="dxa" w:w="2045"/>
          </w:tcPr>
          <w:p>
            <w:r>
              <w:t>93.4%</w:t>
            </w:r>
          </w:p>
        </w:tc>
        <w:tc>
          <w:tcPr>
            <w:tcW w:type="dxa" w:w="2045"/>
          </w:tcPr>
          <w:p>
            <w:r>
              <w:t>7.1%</w:t>
            </w:r>
          </w:p>
        </w:tc>
        <w:tc>
          <w:tcPr>
            <w:tcW w:type="dxa" w:w="2045"/>
          </w:tcPr>
          <w:p>
            <w:r>
              <w:t>91.6%</w:t>
            </w:r>
          </w:p>
        </w:tc>
      </w:tr>
    </w:tbl>
    <w:p/>
    <w:p>
      <w:pPr>
        <w:pStyle w:val="Heading2"/>
      </w:pPr>
      <w:r>
        <w:t>RQ3: Leave-One-Language-Out Transfer</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rPr>
                <w:b/>
              </w:rPr>
              <w:t>Training languages</w:t>
            </w:r>
          </w:p>
        </w:tc>
        <w:tc>
          <w:tcPr>
            <w:tcW w:type="dxa" w:w="1704"/>
          </w:tcPr>
          <w:p>
            <w:r>
              <w:rPr>
                <w:b/>
              </w:rPr>
              <w:t>Unseen test</w:t>
            </w:r>
          </w:p>
        </w:tc>
        <w:tc>
          <w:tcPr>
            <w:tcW w:type="dxa" w:w="1704"/>
          </w:tcPr>
          <w:p>
            <w:r>
              <w:rPr>
                <w:b/>
              </w:rPr>
              <w:t>n</w:t>
            </w:r>
          </w:p>
        </w:tc>
        <w:tc>
          <w:tcPr>
            <w:tcW w:type="dxa" w:w="1704"/>
          </w:tcPr>
          <w:p>
            <w:r>
              <w:rPr>
                <w:b/>
              </w:rPr>
              <w:t>Accuracy</w:t>
            </w:r>
          </w:p>
        </w:tc>
        <w:tc>
          <w:tcPr>
            <w:tcW w:type="dxa" w:w="1704"/>
          </w:tcPr>
          <w:p>
            <w:r>
              <w:rPr>
                <w:b/>
              </w:rPr>
              <w:t>EER</w:t>
            </w:r>
          </w:p>
        </w:tc>
        <w:tc>
          <w:tcPr>
            <w:tcW w:type="dxa" w:w="1704"/>
          </w:tcPr>
          <w:p>
            <w:r>
              <w:rPr>
                <w:b/>
              </w:rPr>
              <w:t>F1</w:t>
            </w:r>
          </w:p>
        </w:tc>
      </w:tr>
      <w:tr>
        <w:tc>
          <w:tcPr>
            <w:tcW w:type="dxa" w:w="1704"/>
          </w:tcPr>
          <w:p>
            <w:r>
              <w:t>Marathi + Tamil</w:t>
            </w:r>
          </w:p>
        </w:tc>
        <w:tc>
          <w:tcPr>
            <w:tcW w:type="dxa" w:w="1704"/>
          </w:tcPr>
          <w:p>
            <w:r>
              <w:t>Hindi</w:t>
            </w:r>
          </w:p>
        </w:tc>
        <w:tc>
          <w:tcPr>
            <w:tcW w:type="dxa" w:w="1704"/>
          </w:tcPr>
          <w:p>
            <w:r>
              <w:t>222</w:t>
            </w:r>
          </w:p>
        </w:tc>
        <w:tc>
          <w:tcPr>
            <w:tcW w:type="dxa" w:w="1704"/>
          </w:tcPr>
          <w:p>
            <w:r>
              <w:t>78.8%</w:t>
            </w:r>
          </w:p>
        </w:tc>
        <w:tc>
          <w:tcPr>
            <w:tcW w:type="dxa" w:w="1704"/>
          </w:tcPr>
          <w:p>
            <w:r>
              <w:t>21.8%</w:t>
            </w:r>
          </w:p>
        </w:tc>
        <w:tc>
          <w:tcPr>
            <w:tcW w:type="dxa" w:w="1704"/>
          </w:tcPr>
          <w:p>
            <w:r>
              <w:t>72.5%</w:t>
            </w:r>
          </w:p>
        </w:tc>
      </w:tr>
      <w:tr>
        <w:tc>
          <w:tcPr>
            <w:tcW w:type="dxa" w:w="1704"/>
          </w:tcPr>
          <w:p>
            <w:r>
              <w:t>Hindi + Tamil</w:t>
            </w:r>
          </w:p>
        </w:tc>
        <w:tc>
          <w:tcPr>
            <w:tcW w:type="dxa" w:w="1704"/>
          </w:tcPr>
          <w:p>
            <w:r>
              <w:t>Marathi</w:t>
            </w:r>
          </w:p>
        </w:tc>
        <w:tc>
          <w:tcPr>
            <w:tcW w:type="dxa" w:w="1704"/>
          </w:tcPr>
          <w:p>
            <w:r>
              <w:t>164</w:t>
            </w:r>
          </w:p>
        </w:tc>
        <w:tc>
          <w:tcPr>
            <w:tcW w:type="dxa" w:w="1704"/>
          </w:tcPr>
          <w:p>
            <w:r>
              <w:t>93.3%</w:t>
            </w:r>
          </w:p>
        </w:tc>
        <w:tc>
          <w:tcPr>
            <w:tcW w:type="dxa" w:w="1704"/>
          </w:tcPr>
          <w:p>
            <w:r>
              <w:t>7.1%</w:t>
            </w:r>
          </w:p>
        </w:tc>
        <w:tc>
          <w:tcPr>
            <w:tcW w:type="dxa" w:w="1704"/>
          </w:tcPr>
          <w:p>
            <w:r>
              <w:t>95.2%</w:t>
            </w:r>
          </w:p>
        </w:tc>
      </w:tr>
      <w:tr>
        <w:tc>
          <w:tcPr>
            <w:tcW w:type="dxa" w:w="1704"/>
          </w:tcPr>
          <w:p>
            <w:r>
              <w:t>Hindi + Marathi</w:t>
            </w:r>
          </w:p>
        </w:tc>
        <w:tc>
          <w:tcPr>
            <w:tcW w:type="dxa" w:w="1704"/>
          </w:tcPr>
          <w:p>
            <w:r>
              <w:t>Tamil</w:t>
            </w:r>
          </w:p>
        </w:tc>
        <w:tc>
          <w:tcPr>
            <w:tcW w:type="dxa" w:w="1704"/>
          </w:tcPr>
          <w:p>
            <w:r>
              <w:t>198</w:t>
            </w:r>
          </w:p>
        </w:tc>
        <w:tc>
          <w:tcPr>
            <w:tcW w:type="dxa" w:w="1704"/>
          </w:tcPr>
          <w:p>
            <w:r>
              <w:t>93.9%</w:t>
            </w:r>
          </w:p>
        </w:tc>
        <w:tc>
          <w:tcPr>
            <w:tcW w:type="dxa" w:w="1704"/>
          </w:tcPr>
          <w:p>
            <w:r>
              <w:t>6.3%</w:t>
            </w:r>
          </w:p>
        </w:tc>
        <w:tc>
          <w:tcPr>
            <w:tcW w:type="dxa" w:w="1704"/>
          </w:tcPr>
          <w:p>
            <w:r>
              <w:t>92.2%</w:t>
            </w:r>
          </w:p>
        </w:tc>
      </w:tr>
    </w:tbl>
    <w:p/>
    <w:p>
      <w:r>
        <w:drawing>
          <wp:inline xmlns:a="http://schemas.openxmlformats.org/drawingml/2006/main" xmlns:pic="http://schemas.openxmlformats.org/drawingml/2006/picture">
            <wp:extent cx="5669280" cy="3275584"/>
            <wp:docPr id="3" name="Picture 3"/>
            <wp:cNvGraphicFramePr>
              <a:graphicFrameLocks noChangeAspect="1"/>
            </wp:cNvGraphicFramePr>
            <a:graphic>
              <a:graphicData uri="http://schemas.openxmlformats.org/drawingml/2006/picture">
                <pic:pic>
                  <pic:nvPicPr>
                    <pic:cNvPr id="0" name="cross_lingual_transfer.png"/>
                    <pic:cNvPicPr/>
                  </pic:nvPicPr>
                  <pic:blipFill>
                    <a:blip r:embed="rId11"/>
                    <a:stretch>
                      <a:fillRect/>
                    </a:stretch>
                  </pic:blipFill>
                  <pic:spPr>
                    <a:xfrm>
                      <a:off x="0" y="0"/>
                      <a:ext cx="5669280" cy="3275584"/>
                    </a:xfrm>
                    <a:prstGeom prst="rect"/>
                  </pic:spPr>
                </pic:pic>
              </a:graphicData>
            </a:graphic>
          </wp:inline>
        </w:drawing>
      </w:r>
    </w:p>
    <w:p/>
    <w:p>
      <w:r>
        <w:t>The tables and figures below are generated from persisted held-out test metrics. The test set contains 584 speaker-disjoint Kathbath + IndicSynth publication subset instances (~194 per language). Overall accuracy is 93.7%, with a 95% bootstrap interval for EER of 4.6% to 9.2%. Claims are restricted to the persisted manifest, model checkpoint, and stated sources.</w:t>
      </w:r>
    </w:p>
    <w:p>
      <w:pPr>
        <w:pStyle w:val="Heading2"/>
      </w:pPr>
      <w:r>
        <w:t>Verified Test-Set Figures</w:t>
      </w:r>
    </w:p>
    <w:p>
      <w:pPr>
        <w:pStyle w:val="IntenseQuote"/>
      </w:pPr>
      <w:r>
        <w:t>Overall test metrics</w:t>
      </w:r>
    </w:p>
    <w:p>
      <w:r>
        <w:drawing>
          <wp:inline xmlns:a="http://schemas.openxmlformats.org/drawingml/2006/main" xmlns:pic="http://schemas.openxmlformats.org/drawingml/2006/picture">
            <wp:extent cx="5669280" cy="3275584"/>
            <wp:docPr id="4" name="Picture 4"/>
            <wp:cNvGraphicFramePr>
              <a:graphicFrameLocks noChangeAspect="1"/>
            </wp:cNvGraphicFramePr>
            <a:graphic>
              <a:graphicData uri="http://schemas.openxmlformats.org/drawingml/2006/picture">
                <pic:pic>
                  <pic:nvPicPr>
                    <pic:cNvPr id="0" name="performance_overview.png"/>
                    <pic:cNvPicPr/>
                  </pic:nvPicPr>
                  <pic:blipFill>
                    <a:blip r:embed="rId12"/>
                    <a:stretch>
                      <a:fillRect/>
                    </a:stretch>
                  </pic:blipFill>
                  <pic:spPr>
                    <a:xfrm>
                      <a:off x="0" y="0"/>
                      <a:ext cx="5669280" cy="3275584"/>
                    </a:xfrm>
                    <a:prstGeom prst="rect"/>
                  </pic:spPr>
                </pic:pic>
              </a:graphicData>
            </a:graphic>
          </wp:inline>
        </w:drawing>
      </w:r>
    </w:p>
    <w:p/>
    <w:p>
      <w:pPr>
        <w:pStyle w:val="IntenseQuote"/>
      </w:pPr>
      <w:r>
        <w:t>Per-language accuracy and F1</w:t>
      </w:r>
    </w:p>
    <w:p>
      <w:r>
        <w:drawing>
          <wp:inline xmlns:a="http://schemas.openxmlformats.org/drawingml/2006/main" xmlns:pic="http://schemas.openxmlformats.org/drawingml/2006/picture">
            <wp:extent cx="5669280" cy="3275584"/>
            <wp:docPr id="5" name="Picture 5"/>
            <wp:cNvGraphicFramePr>
              <a:graphicFrameLocks noChangeAspect="1"/>
            </wp:cNvGraphicFramePr>
            <a:graphic>
              <a:graphicData uri="http://schemas.openxmlformats.org/drawingml/2006/picture">
                <pic:pic>
                  <pic:nvPicPr>
                    <pic:cNvPr id="0" name="language_breakdown.png"/>
                    <pic:cNvPicPr/>
                  </pic:nvPicPr>
                  <pic:blipFill>
                    <a:blip r:embed="rId13"/>
                    <a:stretch>
                      <a:fillRect/>
                    </a:stretch>
                  </pic:blipFill>
                  <pic:spPr>
                    <a:xfrm>
                      <a:off x="0" y="0"/>
                      <a:ext cx="5669280" cy="3275584"/>
                    </a:xfrm>
                    <a:prstGeom prst="rect"/>
                  </pic:spPr>
                </pic:pic>
              </a:graphicData>
            </a:graphic>
          </wp:inline>
        </w:drawing>
      </w:r>
    </w:p>
    <w:p/>
    <w:p>
      <w:pPr>
        <w:pStyle w:val="IntenseQuote"/>
      </w:pPr>
      <w:r>
        <w:t>Clean versus Opus-simulation performance</w:t>
      </w:r>
    </w:p>
    <w:p>
      <w:r>
        <w:drawing>
          <wp:inline xmlns:a="http://schemas.openxmlformats.org/drawingml/2006/main" xmlns:pic="http://schemas.openxmlformats.org/drawingml/2006/picture">
            <wp:extent cx="5669280" cy="3468265"/>
            <wp:docPr id="6" name="Picture 6"/>
            <wp:cNvGraphicFramePr>
              <a:graphicFrameLocks noChangeAspect="1"/>
            </wp:cNvGraphicFramePr>
            <a:graphic>
              <a:graphicData uri="http://schemas.openxmlformats.org/drawingml/2006/picture">
                <pic:pic>
                  <pic:nvPicPr>
                    <pic:cNvPr id="0" name="condition_breakdown.png"/>
                    <pic:cNvPicPr/>
                  </pic:nvPicPr>
                  <pic:blipFill>
                    <a:blip r:embed="rId14"/>
                    <a:stretch>
                      <a:fillRect/>
                    </a:stretch>
                  </pic:blipFill>
                  <pic:spPr>
                    <a:xfrm>
                      <a:off x="0" y="0"/>
                      <a:ext cx="5669280" cy="3468265"/>
                    </a:xfrm>
                    <a:prstGeom prst="rect"/>
                  </pic:spPr>
                </pic:pic>
              </a:graphicData>
            </a:graphic>
          </wp:inline>
        </w:drawing>
      </w:r>
    </w:p>
    <w:p/>
    <w:p>
      <w:pPr>
        <w:pStyle w:val="IntenseQuote"/>
      </w:pPr>
      <w:r>
        <w:t>Test-set confusion matrix</w:t>
      </w:r>
    </w:p>
    <w:p>
      <w:r>
        <w:drawing>
          <wp:inline xmlns:a="http://schemas.openxmlformats.org/drawingml/2006/main" xmlns:pic="http://schemas.openxmlformats.org/drawingml/2006/picture">
            <wp:extent cx="5669280" cy="4797083"/>
            <wp:docPr id="7" name="Picture 7"/>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5669280" cy="4797083"/>
                    </a:xfrm>
                    <a:prstGeom prst="rect"/>
                  </pic:spPr>
                </pic:pic>
              </a:graphicData>
            </a:graphic>
          </wp:inline>
        </w:drawing>
      </w:r>
    </w:p>
    <w:p/>
    <w:p>
      <w:pPr>
        <w:pStyle w:val="IntenseQuote"/>
      </w:pPr>
      <w:r>
        <w:t>ECE and Brier calibration errors</w:t>
      </w:r>
    </w:p>
    <w:p>
      <w:r>
        <w:drawing>
          <wp:inline xmlns:a="http://schemas.openxmlformats.org/drawingml/2006/main" xmlns:pic="http://schemas.openxmlformats.org/drawingml/2006/picture">
            <wp:extent cx="5669280" cy="3201475"/>
            <wp:docPr id="8" name="Picture 8"/>
            <wp:cNvGraphicFramePr>
              <a:graphicFrameLocks noChangeAspect="1"/>
            </wp:cNvGraphicFramePr>
            <a:graphic>
              <a:graphicData uri="http://schemas.openxmlformats.org/drawingml/2006/picture">
                <pic:pic>
                  <pic:nvPicPr>
                    <pic:cNvPr id="0" name="calibration_errors.png"/>
                    <pic:cNvPicPr/>
                  </pic:nvPicPr>
                  <pic:blipFill>
                    <a:blip r:embed="rId16"/>
                    <a:stretch>
                      <a:fillRect/>
                    </a:stretch>
                  </pic:blipFill>
                  <pic:spPr>
                    <a:xfrm>
                      <a:off x="0" y="0"/>
                      <a:ext cx="5669280" cy="3201475"/>
                    </a:xfrm>
                    <a:prstGeom prst="rect"/>
                  </pic:spPr>
                </pic:pic>
              </a:graphicData>
            </a:graphic>
          </wp:inline>
        </w:drawing>
      </w:r>
    </w:p>
    <w:p/>
    <w:p>
      <w:pPr>
        <w:pStyle w:val="IntenseQuote"/>
      </w:pPr>
      <w:r>
        <w:t>Pre- versus post-calibration error comparison</w:t>
      </w:r>
    </w:p>
    <w:p>
      <w:r>
        <w:drawing>
          <wp:inline xmlns:a="http://schemas.openxmlformats.org/drawingml/2006/main" xmlns:pic="http://schemas.openxmlformats.org/drawingml/2006/picture">
            <wp:extent cx="5669280" cy="3275584"/>
            <wp:docPr id="9" name="Picture 9"/>
            <wp:cNvGraphicFramePr>
              <a:graphicFrameLocks noChangeAspect="1"/>
            </wp:cNvGraphicFramePr>
            <a:graphic>
              <a:graphicData uri="http://schemas.openxmlformats.org/drawingml/2006/picture">
                <pic:pic>
                  <pic:nvPicPr>
                    <pic:cNvPr id="0" name="calibration_pre_post.png"/>
                    <pic:cNvPicPr/>
                  </pic:nvPicPr>
                  <pic:blipFill>
                    <a:blip r:embed="rId17"/>
                    <a:stretch>
                      <a:fillRect/>
                    </a:stretch>
                  </pic:blipFill>
                  <pic:spPr>
                    <a:xfrm>
                      <a:off x="0" y="0"/>
                      <a:ext cx="5669280" cy="3275584"/>
                    </a:xfrm>
                    <a:prstGeom prst="rect"/>
                  </pic:spPr>
                </pic:pic>
              </a:graphicData>
            </a:graphic>
          </wp:inline>
        </w:drawing>
      </w:r>
    </w:p>
    <w:p/>
    <w:p>
      <w:pPr>
        <w:pStyle w:val="IntenseQuote"/>
      </w:pPr>
      <w:r>
        <w:t>Reliability diagram with bin counts</w:t>
      </w:r>
    </w:p>
    <w:p>
      <w:r>
        <w:drawing>
          <wp:inline xmlns:a="http://schemas.openxmlformats.org/drawingml/2006/main" xmlns:pic="http://schemas.openxmlformats.org/drawingml/2006/picture">
            <wp:extent cx="5669280" cy="3668357"/>
            <wp:docPr id="10" name="Picture 10"/>
            <wp:cNvGraphicFramePr>
              <a:graphicFrameLocks noChangeAspect="1"/>
            </wp:cNvGraphicFramePr>
            <a:graphic>
              <a:graphicData uri="http://schemas.openxmlformats.org/drawingml/2006/picture">
                <pic:pic>
                  <pic:nvPicPr>
                    <pic:cNvPr id="0" name="reliability_diagram.png"/>
                    <pic:cNvPicPr/>
                  </pic:nvPicPr>
                  <pic:blipFill>
                    <a:blip r:embed="rId18"/>
                    <a:stretch>
                      <a:fillRect/>
                    </a:stretch>
                  </pic:blipFill>
                  <pic:spPr>
                    <a:xfrm>
                      <a:off x="0" y="0"/>
                      <a:ext cx="5669280" cy="3668357"/>
                    </a:xfrm>
                    <a:prstGeom prst="rect"/>
                  </pic:spPr>
                </pic:pic>
              </a:graphicData>
            </a:graphic>
          </wp:inline>
        </w:drawing>
      </w:r>
    </w:p>
    <w:p/>
    <w:p>
      <w:pPr>
        <w:pStyle w:val="Heading3"/>
      </w:pPr>
      <w:r>
        <w:t>Confusion Matrix Counts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Actual / predicted</w:t>
            </w:r>
          </w:p>
        </w:tc>
        <w:tc>
          <w:tcPr>
            <w:tcW w:type="dxa" w:w="3408"/>
          </w:tcPr>
          <w:p>
            <w:r>
              <w:rPr>
                <w:b/>
              </w:rPr>
              <w:t>Real</w:t>
            </w:r>
          </w:p>
        </w:tc>
        <w:tc>
          <w:tcPr>
            <w:tcW w:type="dxa" w:w="3408"/>
          </w:tcPr>
          <w:p>
            <w:r>
              <w:rPr>
                <w:b/>
              </w:rPr>
              <w:t>Fake</w:t>
            </w:r>
          </w:p>
        </w:tc>
      </w:tr>
      <w:tr>
        <w:tc>
          <w:tcPr>
            <w:tcW w:type="dxa" w:w="3408"/>
          </w:tcPr>
          <w:p>
            <w:r>
              <w:t>Actual real</w:t>
            </w:r>
          </w:p>
        </w:tc>
        <w:tc>
          <w:tcPr>
            <w:tcW w:type="dxa" w:w="3408"/>
          </w:tcPr>
          <w:p>
            <w:r>
              <w:t>291</w:t>
            </w:r>
          </w:p>
        </w:tc>
        <w:tc>
          <w:tcPr>
            <w:tcW w:type="dxa" w:w="3408"/>
          </w:tcPr>
          <w:p>
            <w:r>
              <w:t>29</w:t>
            </w:r>
          </w:p>
        </w:tc>
      </w:tr>
      <w:tr>
        <w:tc>
          <w:tcPr>
            <w:tcW w:type="dxa" w:w="3408"/>
          </w:tcPr>
          <w:p>
            <w:r>
              <w:t>Actual fake</w:t>
            </w:r>
          </w:p>
        </w:tc>
        <w:tc>
          <w:tcPr>
            <w:tcW w:type="dxa" w:w="3408"/>
          </w:tcPr>
          <w:p>
            <w:r>
              <w:t>8</w:t>
            </w:r>
          </w:p>
        </w:tc>
        <w:tc>
          <w:tcPr>
            <w:tcW w:type="dxa" w:w="3408"/>
          </w:tcPr>
          <w:p>
            <w:r>
              <w:t>256</w:t>
            </w:r>
          </w:p>
        </w:tc>
      </w:tr>
    </w:tbl>
    <w:p/>
    <w:p>
      <w:pPr>
        <w:pStyle w:val="Heading2"/>
      </w:pPr>
      <w:r>
        <w:t>Research Question Status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Research question</w:t>
            </w:r>
          </w:p>
        </w:tc>
        <w:tc>
          <w:tcPr>
            <w:tcW w:type="dxa" w:w="3408"/>
          </w:tcPr>
          <w:p>
            <w:r>
              <w:rPr>
                <w:b/>
              </w:rPr>
              <w:t>Measured result</w:t>
            </w:r>
          </w:p>
        </w:tc>
        <w:tc>
          <w:tcPr>
            <w:tcW w:type="dxa" w:w="3408"/>
          </w:tcPr>
          <w:p>
            <w:r>
              <w:rPr>
                <w:b/>
              </w:rPr>
              <w:t>Evidence status</w:t>
            </w:r>
          </w:p>
        </w:tc>
      </w:tr>
      <w:tr>
        <w:tc>
          <w:tcPr>
            <w:tcW w:type="dxa" w:w="3408"/>
          </w:tcPr>
          <w:p>
            <w:r>
              <w:t>RQ1</w:t>
            </w:r>
          </w:p>
        </w:tc>
        <w:tc>
          <w:tcPr>
            <w:tcW w:type="dxa" w:w="3408"/>
          </w:tcPr>
          <w:p>
            <w:r>
              <w:t>Clean 95.2% accuracy vs Opus-sim 92.1% (n=584)</w:t>
            </w:r>
          </w:p>
        </w:tc>
        <w:tc>
          <w:tcPr>
            <w:tcW w:type="dxa" w:w="3408"/>
          </w:tcPr>
          <w:p>
            <w:r>
              <w:t>Measured on paired test instances</w:t>
            </w:r>
          </w:p>
        </w:tc>
      </w:tr>
      <w:tr>
        <w:tc>
          <w:tcPr>
            <w:tcW w:type="dxa" w:w="3408"/>
          </w:tcPr>
          <w:p>
            <w:r>
              <w:t>RQ2</w:t>
            </w:r>
          </w:p>
        </w:tc>
        <w:tc>
          <w:tcPr>
            <w:tcW w:type="dxa" w:w="3408"/>
          </w:tcPr>
          <w:p>
            <w:r>
              <w:t>Multilingual Hindi/Marathi/Tamil model trained</w:t>
            </w:r>
          </w:p>
        </w:tc>
        <w:tc>
          <w:tcPr>
            <w:tcW w:type="dxa" w:w="3408"/>
          </w:tcPr>
          <w:p>
            <w:r>
              <w:t>English-only baseline experiment pending</w:t>
            </w:r>
          </w:p>
        </w:tc>
      </w:tr>
      <w:tr>
        <w:tc>
          <w:tcPr>
            <w:tcW w:type="dxa" w:w="3408"/>
          </w:tcPr>
          <w:p>
            <w:r>
              <w:t>RQ3</w:t>
            </w:r>
          </w:p>
        </w:tc>
        <w:tc>
          <w:tcPr>
            <w:tcW w:type="dxa" w:w="3408"/>
          </w:tcPr>
          <w:p>
            <w:r>
              <w:t>Three leave-one-language-out runs completed</w:t>
            </w:r>
          </w:p>
        </w:tc>
        <w:tc>
          <w:tcPr>
            <w:tcW w:type="dxa" w:w="3408"/>
          </w:tcPr>
          <w:p>
            <w:r>
              <w:t>Measured on unseen-language test partitions</w:t>
            </w:r>
          </w:p>
        </w:tc>
      </w:tr>
      <w:tr>
        <w:tc>
          <w:tcPr>
            <w:tcW w:type="dxa" w:w="3408"/>
          </w:tcPr>
          <w:p>
            <w:r>
              <w:t>RQ4</w:t>
            </w:r>
          </w:p>
        </w:tc>
        <w:tc>
          <w:tcPr>
            <w:tcW w:type="dxa" w:w="3408"/>
          </w:tcPr>
          <w:p>
            <w:r>
              <w:t>ECE 0.038 → 0.042; Brier 0.055 → 0.059</w:t>
            </w:r>
          </w:p>
        </w:tc>
        <w:tc>
          <w:tcPr>
            <w:tcW w:type="dxa" w:w="3408"/>
          </w:tcPr>
          <w:p>
            <w:r>
              <w:t>Measured on validation-fitted temperatures</w:t>
            </w:r>
          </w:p>
        </w:tc>
      </w:tr>
      <w:tr>
        <w:tc>
          <w:tcPr>
            <w:tcW w:type="dxa" w:w="3408"/>
          </w:tcPr>
          <w:p>
            <w:r>
              <w:t>RQ5</w:t>
            </w:r>
          </w:p>
        </w:tc>
        <w:tc>
          <w:tcPr>
            <w:tcW w:type="dxa" w:w="3408"/>
          </w:tcPr>
          <w:p>
            <w:r>
              <w:t>Human-study protocol implemented in UI; N=0 responses collected</w:t>
            </w:r>
          </w:p>
        </w:tc>
        <w:tc>
          <w:tcPr>
            <w:tcW w:type="dxa" w:w="3408"/>
          </w:tcPr>
          <w:p>
            <w:r>
              <w:t>Recruitment and analysis pending</w:t>
            </w:r>
          </w:p>
        </w:tc>
      </w:tr>
    </w:tbl>
    <w:p/>
    <w:p>
      <w:r>
        <w:br w:type="page"/>
      </w:r>
    </w:p>
    <w:p>
      <w:pPr>
        <w:pStyle w:val="Heading1"/>
      </w:pPr>
      <w:r>
        <w:t>8. Explainability Suite</w:t>
      </w:r>
    </w:p>
    <w:p>
      <w:r>
        <w:t>Five explainability methods are implemented and exposed through the API and UI:</w:t>
      </w:r>
    </w:p>
    <w:p>
      <w:pPr>
        <w:pStyle w:val="ListBullet"/>
      </w:pPr>
      <w:r>
        <w:t>Grad-CAM temporal attention heatmap on spectrogram input</w:t>
      </w:r>
    </w:p>
    <w:p>
      <w:pPr>
        <w:pStyle w:val="ListBullet"/>
      </w:pPr>
      <w:r>
        <w:t>Attention map visualisation</w:t>
      </w:r>
    </w:p>
    <w:p>
      <w:pPr>
        <w:pStyle w:val="ListBullet"/>
      </w:pPr>
      <w:r>
        <w:t>Frequency-band importance (mask bands, measure score change)</w:t>
      </w:r>
    </w:p>
    <w:p>
      <w:pPr>
        <w:pStyle w:val="ListBullet"/>
      </w:pPr>
      <w:r>
        <w:t>Spectrogram side-by-side comparison</w:t>
      </w:r>
    </w:p>
    <w:p>
      <w:pPr>
        <w:pStyle w:val="ListBullet"/>
      </w:pPr>
      <w:r>
        <w:t>Compression-artifact visualisation (spectral energy loss from Opus)</w:t>
      </w:r>
    </w:p>
    <w:p>
      <w:r>
        <w:br w:type="page"/>
      </w:r>
    </w:p>
    <w:p>
      <w:pPr>
        <w:pStyle w:val="Heading1"/>
      </w:pPr>
      <w:r>
        <w:t>9. Human Perception Study (RQ5)</w:t>
      </w:r>
    </w:p>
    <w:p>
      <w:r>
        <w:t>A bounded listening-test protocol is implemented in the web application. Volunteers hear clips from the same stimulus set used by the model, make forced-choice real/fake judgements, and rate confidence on a 1–5 scale. Gold labels remain hidden during trials.</w:t>
      </w:r>
    </w:p>
    <w:p>
      <w:r>
        <w:t>Target: 20–30 participants; minimum floor 12–15 for analysis.</w:t>
      </w:r>
    </w:p>
    <w:p>
      <w:r>
        <w:br w:type="page"/>
      </w:r>
    </w:p>
    <w:p>
      <w:pPr>
        <w:pStyle w:val="Heading1"/>
      </w:pPr>
      <w:r>
        <w:t>10. Validation and Testing</w:t>
      </w:r>
    </w:p>
    <w:tbl>
      <w:tblPr>
        <w:tblStyle w:val="TableGrid"/>
        <w:tblW w:type="auto" w:w="0"/>
        <w:tblLook w:firstColumn="1" w:firstRow="1" w:lastColumn="0" w:lastRow="0" w:noHBand="0" w:noVBand="1" w:val="04A0"/>
      </w:tblPr>
      <w:tblGrid>
        <w:gridCol w:w="5112"/>
        <w:gridCol w:w="5112"/>
      </w:tblGrid>
      <w:tr>
        <w:tc>
          <w:tcPr>
            <w:tcW w:type="dxa" w:w="5112"/>
          </w:tcPr>
          <w:p>
            <w:r>
              <w:rPr>
                <w:b/>
              </w:rPr>
              <w:t>Test</w:t>
            </w:r>
          </w:p>
        </w:tc>
        <w:tc>
          <w:tcPr>
            <w:tcW w:type="dxa" w:w="5112"/>
          </w:tcPr>
          <w:p>
            <w:r>
              <w:rPr>
                <w:b/>
              </w:rPr>
              <w:t>Result</w:t>
            </w:r>
          </w:p>
        </w:tc>
      </w:tr>
      <w:tr>
        <w:tc>
          <w:tcPr>
            <w:tcW w:type="dxa" w:w="5112"/>
          </w:tcPr>
          <w:p>
            <w:r>
              <w:t>Backend unit and integration tests</w:t>
            </w:r>
          </w:p>
        </w:tc>
        <w:tc>
          <w:tcPr>
            <w:tcW w:type="dxa" w:w="5112"/>
          </w:tcPr>
          <w:p>
            <w:r>
              <w:t>172 passed, 3 skipped</w:t>
            </w:r>
          </w:p>
        </w:tc>
      </w:tr>
      <w:tr>
        <w:tc>
          <w:tcPr>
            <w:tcW w:type="dxa" w:w="5112"/>
          </w:tcPr>
          <w:p>
            <w:r>
              <w:t>Code coverage</w:t>
            </w:r>
          </w:p>
        </w:tc>
        <w:tc>
          <w:tcPr>
            <w:tcW w:type="dxa" w:w="5112"/>
          </w:tcPr>
          <w:p>
            <w:r>
              <w:t>84.76% (gate ≥80%)</w:t>
            </w:r>
          </w:p>
        </w:tc>
      </w:tr>
      <w:tr>
        <w:tc>
          <w:tcPr>
            <w:tcW w:type="dxa" w:w="5112"/>
          </w:tcPr>
          <w:p>
            <w:r>
              <w:t>Frontend tests</w:t>
            </w:r>
          </w:p>
        </w:tc>
        <w:tc>
          <w:tcPr>
            <w:tcW w:type="dxa" w:w="5112"/>
          </w:tcPr>
          <w:p>
            <w:r>
              <w:t>22 of 22 passed</w:t>
            </w:r>
          </w:p>
        </w:tc>
      </w:tr>
      <w:tr>
        <w:tc>
          <w:tcPr>
            <w:tcW w:type="dxa" w:w="5112"/>
          </w:tcPr>
          <w:p>
            <w:r>
              <w:t>OpenAPI contract drift</w:t>
            </w:r>
          </w:p>
        </w:tc>
        <w:tc>
          <w:tcPr>
            <w:tcW w:type="dxa" w:w="5112"/>
          </w:tcPr>
          <w:p>
            <w:r>
              <w:t>Regenerated and passing</w:t>
            </w:r>
          </w:p>
        </w:tc>
      </w:tr>
      <w:tr>
        <w:tc>
          <w:tcPr>
            <w:tcW w:type="dxa" w:w="5112"/>
          </w:tcPr>
          <w:p>
            <w:r>
              <w:t>Live inference — real clip</w:t>
            </w:r>
          </w:p>
        </w:tc>
        <w:tc>
          <w:tcPr>
            <w:tcW w:type="dxa" w:w="5112"/>
          </w:tcPr>
          <w:p>
            <w:r>
              <w:t>Label: real — PASS</w:t>
            </w:r>
          </w:p>
        </w:tc>
      </w:tr>
      <w:tr>
        <w:tc>
          <w:tcPr>
            <w:tcW w:type="dxa" w:w="5112"/>
          </w:tcPr>
          <w:p>
            <w:r>
              <w:t>Live inference — fake clip</w:t>
            </w:r>
          </w:p>
        </w:tc>
        <w:tc>
          <w:tcPr>
            <w:tcW w:type="dxa" w:w="5112"/>
          </w:tcPr>
          <w:p>
            <w:r>
              <w:t>Label: fake — PASS</w:t>
            </w:r>
          </w:p>
        </w:tc>
      </w:tr>
      <w:tr>
        <w:tc>
          <w:tcPr>
            <w:tcW w:type="dxa" w:w="5112"/>
          </w:tcPr>
          <w:p>
            <w:r>
              <w:t>API health</w:t>
            </w:r>
          </w:p>
        </w:tc>
        <w:tc>
          <w:tcPr>
            <w:tcW w:type="dxa" w:w="5112"/>
          </w:tcPr>
          <w:p>
            <w:r>
              <w:t>OK</w:t>
            </w:r>
          </w:p>
        </w:tc>
      </w:tr>
      <w:tr>
        <w:tc>
          <w:tcPr>
            <w:tcW w:type="dxa" w:w="5112"/>
          </w:tcPr>
          <w:p>
            <w:r>
              <w:t>Live mic false-positive fix</w:t>
            </w:r>
          </w:p>
        </w:tc>
        <w:tc>
          <w:tcPr>
            <w:tcW w:type="dxa" w:w="5112"/>
          </w:tcPr>
          <w:p>
            <w:r>
              <w:t>Verified — natural speech reads as REAL</w:t>
            </w:r>
          </w:p>
        </w:tc>
      </w:tr>
    </w:tbl>
    <w:p/>
    <w:p>
      <w:pPr>
        <w:pStyle w:val="Heading2"/>
      </w:pPr>
      <w:r>
        <w:t>Security and Validation Controls</w:t>
      </w:r>
    </w:p>
    <w:p>
      <w:pPr>
        <w:pStyle w:val="ListBullet"/>
      </w:pPr>
      <w:r>
        <w:t>Upload MIME type, magic bytes, file size, and duration are validated before inference.</w:t>
      </w:r>
    </w:p>
    <w:p>
      <w:pPr>
        <w:pStyle w:val="ListBullet"/>
      </w:pPr>
      <w:r>
        <w:t>CORS origins are configuration-driven; wildcard origins are not used outside local development.</w:t>
      </w:r>
    </w:p>
    <w:p>
      <w:pPr>
        <w:pStyle w:val="ListBullet"/>
      </w:pPr>
      <w:r>
        <w:t>Secrets are loaded from environment files and are excluded from source control.</w:t>
      </w:r>
    </w:p>
    <w:p>
      <w:pPr>
        <w:pStyle w:val="ListBullet"/>
      </w:pPr>
      <w:r>
        <w:t>Errors use typed RFC 7807 problem responses; request IDs and structured logs support tracing.</w:t>
      </w:r>
    </w:p>
    <w:p>
      <w:pPr>
        <w:pStyle w:val="ListBullet"/>
      </w:pPr>
      <w:r>
        <w:t>The local administration endpoint is intentionally unauthenticated and must not be exposed publicly.</w:t>
      </w:r>
    </w:p>
    <w:p>
      <w:r>
        <w:br w:type="page"/>
      </w:r>
    </w:p>
    <w:p>
      <w:pPr>
        <w:pStyle w:val="Heading1"/>
      </w:pPr>
      <w:r>
        <w:t>11. Application Screenshots (Live Capture)</w:t>
      </w:r>
    </w:p>
    <w:p>
      <w:r>
        <w:t>The following screenshots were captured automatically from the running application.</w:t>
      </w:r>
    </w:p>
    <w:p>
      <w:pPr>
        <w:pStyle w:val="Heading2"/>
      </w:pPr>
      <w:r>
        <w:t>Landing Page</w:t>
      </w:r>
    </w:p>
    <w:p>
      <w:r>
        <w:drawing>
          <wp:inline xmlns:a="http://schemas.openxmlformats.org/drawingml/2006/main" xmlns:pic="http://schemas.openxmlformats.org/drawingml/2006/picture">
            <wp:extent cx="5669280" cy="3657473"/>
            <wp:docPr id="11" name="Picture 11"/>
            <wp:cNvGraphicFramePr>
              <a:graphicFrameLocks noChangeAspect="1"/>
            </wp:cNvGraphicFramePr>
            <a:graphic>
              <a:graphicData uri="http://schemas.openxmlformats.org/drawingml/2006/picture">
                <pic:pic>
                  <pic:nvPicPr>
                    <pic:cNvPr id="0" name="01-landing.png"/>
                    <pic:cNvPicPr/>
                  </pic:nvPicPr>
                  <pic:blipFill>
                    <a:blip r:embed="rId19"/>
                    <a:stretch>
                      <a:fillRect/>
                    </a:stretch>
                  </pic:blipFill>
                  <pic:spPr>
                    <a:xfrm>
                      <a:off x="0" y="0"/>
                      <a:ext cx="5669280" cy="3657473"/>
                    </a:xfrm>
                    <a:prstGeom prst="rect"/>
                  </pic:spPr>
                </pic:pic>
              </a:graphicData>
            </a:graphic>
          </wp:inline>
        </w:drawing>
      </w:r>
    </w:p>
    <w:p/>
    <w:p>
      <w:r>
        <w:br w:type="page"/>
      </w:r>
    </w:p>
    <w:p>
      <w:pPr>
        <w:pStyle w:val="Heading2"/>
      </w:pPr>
      <w:r>
        <w:t>Research Dashboard</w:t>
      </w:r>
    </w:p>
    <w:p>
      <w:r>
        <w:drawing>
          <wp:inline xmlns:a="http://schemas.openxmlformats.org/drawingml/2006/main" xmlns:pic="http://schemas.openxmlformats.org/drawingml/2006/picture">
            <wp:extent cx="5669280" cy="6618097"/>
            <wp:docPr id="12" name="Picture 12"/>
            <wp:cNvGraphicFramePr>
              <a:graphicFrameLocks noChangeAspect="1"/>
            </wp:cNvGraphicFramePr>
            <a:graphic>
              <a:graphicData uri="http://schemas.openxmlformats.org/drawingml/2006/picture">
                <pic:pic>
                  <pic:nvPicPr>
                    <pic:cNvPr id="0" name="02-dashboard.png"/>
                    <pic:cNvPicPr/>
                  </pic:nvPicPr>
                  <pic:blipFill>
                    <a:blip r:embed="rId20"/>
                    <a:stretch>
                      <a:fillRect/>
                    </a:stretch>
                  </pic:blipFill>
                  <pic:spPr>
                    <a:xfrm>
                      <a:off x="0" y="0"/>
                      <a:ext cx="5669280" cy="6618097"/>
                    </a:xfrm>
                    <a:prstGeom prst="rect"/>
                  </pic:spPr>
                </pic:pic>
              </a:graphicData>
            </a:graphic>
          </wp:inline>
        </w:drawing>
      </w:r>
    </w:p>
    <w:p/>
    <w:p>
      <w:pPr>
        <w:pStyle w:val="Caption"/>
      </w:pPr>
      <w:r>
        <w:t>Detail 1 of 2</w:t>
      </w:r>
    </w:p>
    <w:p>
      <w:r>
        <w:drawing>
          <wp:inline xmlns:a="http://schemas.openxmlformats.org/drawingml/2006/main" xmlns:pic="http://schemas.openxmlformats.org/drawingml/2006/picture">
            <wp:extent cx="5669280" cy="6346444"/>
            <wp:docPr id="13" name="Picture 13"/>
            <wp:cNvGraphicFramePr>
              <a:graphicFrameLocks noChangeAspect="1"/>
            </wp:cNvGraphicFramePr>
            <a:graphic>
              <a:graphicData uri="http://schemas.openxmlformats.org/drawingml/2006/picture">
                <pic:pic>
                  <pic:nvPicPr>
                    <pic:cNvPr id="0" name="02-dashboard-01.png"/>
                    <pic:cNvPicPr/>
                  </pic:nvPicPr>
                  <pic:blipFill>
                    <a:blip r:embed="rId21"/>
                    <a:stretch>
                      <a:fillRect/>
                    </a:stretch>
                  </pic:blipFill>
                  <pic:spPr>
                    <a:xfrm>
                      <a:off x="0" y="0"/>
                      <a:ext cx="5669280" cy="6346444"/>
                    </a:xfrm>
                    <a:prstGeom prst="rect"/>
                  </pic:spPr>
                </pic:pic>
              </a:graphicData>
            </a:graphic>
          </wp:inline>
        </w:drawing>
      </w:r>
    </w:p>
    <w:p/>
    <w:p>
      <w:r>
        <w:br w:type="page"/>
      </w:r>
    </w:p>
    <w:p>
      <w:pPr>
        <w:pStyle w:val="Caption"/>
      </w:pPr>
      <w:r>
        <w:t>Detail 2 of 2</w:t>
      </w:r>
    </w:p>
    <w:p>
      <w:r>
        <w:drawing>
          <wp:inline xmlns:a="http://schemas.openxmlformats.org/drawingml/2006/main" xmlns:pic="http://schemas.openxmlformats.org/drawingml/2006/picture">
            <wp:extent cx="5669280" cy="6346444"/>
            <wp:docPr id="14" name="Picture 14"/>
            <wp:cNvGraphicFramePr>
              <a:graphicFrameLocks noChangeAspect="1"/>
            </wp:cNvGraphicFramePr>
            <a:graphic>
              <a:graphicData uri="http://schemas.openxmlformats.org/drawingml/2006/picture">
                <pic:pic>
                  <pic:nvPicPr>
                    <pic:cNvPr id="0" name="02-dashboard-02.png"/>
                    <pic:cNvPicPr/>
                  </pic:nvPicPr>
                  <pic:blipFill>
                    <a:blip r:embed="rId22"/>
                    <a:stretch>
                      <a:fillRect/>
                    </a:stretch>
                  </pic:blipFill>
                  <pic:spPr>
                    <a:xfrm>
                      <a:off x="0" y="0"/>
                      <a:ext cx="5669280" cy="6346444"/>
                    </a:xfrm>
                    <a:prstGeom prst="rect"/>
                  </pic:spPr>
                </pic:pic>
              </a:graphicData>
            </a:graphic>
          </wp:inline>
        </w:drawing>
      </w:r>
    </w:p>
    <w:p/>
    <w:p>
      <w:r>
        <w:br w:type="page"/>
      </w:r>
    </w:p>
    <w:p>
      <w:pPr>
        <w:pStyle w:val="Heading2"/>
      </w:pPr>
      <w:r>
        <w:t>Upload and Detection</w:t>
      </w:r>
    </w:p>
    <w:p>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03-upload.png"/>
                    <pic:cNvPicPr/>
                  </pic:nvPicPr>
                  <pic:blipFill>
                    <a:blip r:embed="rId23"/>
                    <a:stretch>
                      <a:fillRect/>
                    </a:stretch>
                  </pic:blipFill>
                  <pic:spPr>
                    <a:xfrm>
                      <a:off x="0" y="0"/>
                      <a:ext cx="5669280" cy="3543300"/>
                    </a:xfrm>
                    <a:prstGeom prst="rect"/>
                  </pic:spPr>
                </pic:pic>
              </a:graphicData>
            </a:graphic>
          </wp:inline>
        </w:drawing>
      </w:r>
    </w:p>
    <w:p/>
    <w:p>
      <w:r>
        <w:br w:type="page"/>
      </w:r>
    </w:p>
    <w:p>
      <w:pPr>
        <w:pStyle w:val="Heading2"/>
      </w:pPr>
      <w:r>
        <w:t>Live Microphone Streaming</w:t>
      </w:r>
    </w:p>
    <w:p>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04-live.png"/>
                    <pic:cNvPicPr/>
                  </pic:nvPicPr>
                  <pic:blipFill>
                    <a:blip r:embed="rId24"/>
                    <a:stretch>
                      <a:fillRect/>
                    </a:stretch>
                  </pic:blipFill>
                  <pic:spPr>
                    <a:xfrm>
                      <a:off x="0" y="0"/>
                      <a:ext cx="5669280" cy="3543300"/>
                    </a:xfrm>
                    <a:prstGeom prst="rect"/>
                  </pic:spPr>
                </pic:pic>
              </a:graphicData>
            </a:graphic>
          </wp:inline>
        </w:drawing>
      </w:r>
    </w:p>
    <w:p/>
    <w:p>
      <w:r>
        <w:br w:type="page"/>
      </w:r>
    </w:p>
    <w:p>
      <w:pPr>
        <w:pStyle w:val="Heading2"/>
      </w:pPr>
      <w:r>
        <w:t>Calibration and Reliability</w:t>
      </w:r>
    </w:p>
    <w:p>
      <w:r>
        <w:drawing>
          <wp:inline xmlns:a="http://schemas.openxmlformats.org/drawingml/2006/main" xmlns:pic="http://schemas.openxmlformats.org/drawingml/2006/picture">
            <wp:extent cx="5669280" cy="3795268"/>
            <wp:docPr id="17" name="Picture 17"/>
            <wp:cNvGraphicFramePr>
              <a:graphicFrameLocks noChangeAspect="1"/>
            </wp:cNvGraphicFramePr>
            <a:graphic>
              <a:graphicData uri="http://schemas.openxmlformats.org/drawingml/2006/picture">
                <pic:pic>
                  <pic:nvPicPr>
                    <pic:cNvPr id="0" name="05-calibration.png"/>
                    <pic:cNvPicPr/>
                  </pic:nvPicPr>
                  <pic:blipFill>
                    <a:blip r:embed="rId25"/>
                    <a:stretch>
                      <a:fillRect/>
                    </a:stretch>
                  </pic:blipFill>
                  <pic:spPr>
                    <a:xfrm>
                      <a:off x="0" y="0"/>
                      <a:ext cx="5669280" cy="3795268"/>
                    </a:xfrm>
                    <a:prstGeom prst="rect"/>
                  </pic:spPr>
                </pic:pic>
              </a:graphicData>
            </a:graphic>
          </wp:inline>
        </w:drawing>
      </w:r>
    </w:p>
    <w:p/>
    <w:p>
      <w:r>
        <w:br w:type="page"/>
      </w:r>
    </w:p>
    <w:p>
      <w:pPr>
        <w:pStyle w:val="Heading2"/>
      </w:pPr>
      <w:r>
        <w:t>Explainability Suite</w:t>
      </w:r>
    </w:p>
    <w:p>
      <w:r>
        <w:drawing>
          <wp:inline xmlns:a="http://schemas.openxmlformats.org/drawingml/2006/main" xmlns:pic="http://schemas.openxmlformats.org/drawingml/2006/picture">
            <wp:extent cx="5669280" cy="6460617"/>
            <wp:docPr id="18" name="Picture 18"/>
            <wp:cNvGraphicFramePr>
              <a:graphicFrameLocks noChangeAspect="1"/>
            </wp:cNvGraphicFramePr>
            <a:graphic>
              <a:graphicData uri="http://schemas.openxmlformats.org/drawingml/2006/picture">
                <pic:pic>
                  <pic:nvPicPr>
                    <pic:cNvPr id="0" name="06-explainability.png"/>
                    <pic:cNvPicPr/>
                  </pic:nvPicPr>
                  <pic:blipFill>
                    <a:blip r:embed="rId26"/>
                    <a:stretch>
                      <a:fillRect/>
                    </a:stretch>
                  </pic:blipFill>
                  <pic:spPr>
                    <a:xfrm>
                      <a:off x="0" y="0"/>
                      <a:ext cx="5669280" cy="6460617"/>
                    </a:xfrm>
                    <a:prstGeom prst="rect"/>
                  </pic:spPr>
                </pic:pic>
              </a:graphicData>
            </a:graphic>
          </wp:inline>
        </w:drawing>
      </w:r>
    </w:p>
    <w:p/>
    <w:p>
      <w:r>
        <w:br w:type="page"/>
      </w:r>
    </w:p>
    <w:p>
      <w:pPr>
        <w:pStyle w:val="Heading2"/>
      </w:pPr>
      <w:r>
        <w:t>Dataset Explorer</w:t>
      </w:r>
    </w:p>
    <w:p>
      <w:r>
        <w:drawing>
          <wp:inline xmlns:a="http://schemas.openxmlformats.org/drawingml/2006/main" xmlns:pic="http://schemas.openxmlformats.org/drawingml/2006/picture">
            <wp:extent cx="5669280" cy="4633849"/>
            <wp:docPr id="19" name="Picture 19"/>
            <wp:cNvGraphicFramePr>
              <a:graphicFrameLocks noChangeAspect="1"/>
            </wp:cNvGraphicFramePr>
            <a:graphic>
              <a:graphicData uri="http://schemas.openxmlformats.org/drawingml/2006/picture">
                <pic:pic>
                  <pic:nvPicPr>
                    <pic:cNvPr id="0" name="07-datasets.png"/>
                    <pic:cNvPicPr/>
                  </pic:nvPicPr>
                  <pic:blipFill>
                    <a:blip r:embed="rId27"/>
                    <a:stretch>
                      <a:fillRect/>
                    </a:stretch>
                  </pic:blipFill>
                  <pic:spPr>
                    <a:xfrm>
                      <a:off x="0" y="0"/>
                      <a:ext cx="5669280" cy="4633849"/>
                    </a:xfrm>
                    <a:prstGeom prst="rect"/>
                  </pic:spPr>
                </pic:pic>
              </a:graphicData>
            </a:graphic>
          </wp:inline>
        </w:drawing>
      </w:r>
    </w:p>
    <w:p/>
    <w:p>
      <w:r>
        <w:br w:type="page"/>
      </w:r>
    </w:p>
    <w:p>
      <w:pPr>
        <w:pStyle w:val="Heading2"/>
      </w:pPr>
      <w:r>
        <w:t>Human Perception Study</w:t>
      </w:r>
    </w:p>
    <w:p>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08-human-study.png"/>
                    <pic:cNvPicPr/>
                  </pic:nvPicPr>
                  <pic:blipFill>
                    <a:blip r:embed="rId28"/>
                    <a:stretch>
                      <a:fillRect/>
                    </a:stretch>
                  </pic:blipFill>
                  <pic:spPr>
                    <a:xfrm>
                      <a:off x="0" y="0"/>
                      <a:ext cx="5669280" cy="3543300"/>
                    </a:xfrm>
                    <a:prstGeom prst="rect"/>
                  </pic:spPr>
                </pic:pic>
              </a:graphicData>
            </a:graphic>
          </wp:inline>
        </w:drawing>
      </w:r>
    </w:p>
    <w:p/>
    <w:p>
      <w:r>
        <w:br w:type="page"/>
      </w:r>
    </w:p>
    <w:p>
      <w:pPr>
        <w:pStyle w:val="Heading2"/>
      </w:pPr>
      <w:r>
        <w:t>Research Metrics</w:t>
      </w:r>
    </w:p>
    <w:p>
      <w:r>
        <w:drawing>
          <wp:inline xmlns:a="http://schemas.openxmlformats.org/drawingml/2006/main" xmlns:pic="http://schemas.openxmlformats.org/drawingml/2006/picture">
            <wp:extent cx="5669280" cy="6830695"/>
            <wp:docPr id="21" name="Picture 21"/>
            <wp:cNvGraphicFramePr>
              <a:graphicFrameLocks noChangeAspect="1"/>
            </wp:cNvGraphicFramePr>
            <a:graphic>
              <a:graphicData uri="http://schemas.openxmlformats.org/drawingml/2006/picture">
                <pic:pic>
                  <pic:nvPicPr>
                    <pic:cNvPr id="0" name="09-research-metrics.png"/>
                    <pic:cNvPicPr/>
                  </pic:nvPicPr>
                  <pic:blipFill>
                    <a:blip r:embed="rId29"/>
                    <a:stretch>
                      <a:fillRect/>
                    </a:stretch>
                  </pic:blipFill>
                  <pic:spPr>
                    <a:xfrm>
                      <a:off x="0" y="0"/>
                      <a:ext cx="5669280" cy="6830695"/>
                    </a:xfrm>
                    <a:prstGeom prst="rect"/>
                  </pic:spPr>
                </pic:pic>
              </a:graphicData>
            </a:graphic>
          </wp:inline>
        </w:drawing>
      </w:r>
    </w:p>
    <w:p/>
    <w:p>
      <w:pPr>
        <w:pStyle w:val="Caption"/>
      </w:pPr>
      <w:r>
        <w:t>Detail 1 of 2</w:t>
      </w:r>
    </w:p>
    <w:p>
      <w:r>
        <w:drawing>
          <wp:inline xmlns:a="http://schemas.openxmlformats.org/drawingml/2006/main" xmlns:pic="http://schemas.openxmlformats.org/drawingml/2006/picture">
            <wp:extent cx="5669280" cy="6346444"/>
            <wp:docPr id="22" name="Picture 22"/>
            <wp:cNvGraphicFramePr>
              <a:graphicFrameLocks noChangeAspect="1"/>
            </wp:cNvGraphicFramePr>
            <a:graphic>
              <a:graphicData uri="http://schemas.openxmlformats.org/drawingml/2006/picture">
                <pic:pic>
                  <pic:nvPicPr>
                    <pic:cNvPr id="0" name="09-research-metrics-01.png"/>
                    <pic:cNvPicPr/>
                  </pic:nvPicPr>
                  <pic:blipFill>
                    <a:blip r:embed="rId30"/>
                    <a:stretch>
                      <a:fillRect/>
                    </a:stretch>
                  </pic:blipFill>
                  <pic:spPr>
                    <a:xfrm>
                      <a:off x="0" y="0"/>
                      <a:ext cx="5669280" cy="6346444"/>
                    </a:xfrm>
                    <a:prstGeom prst="rect"/>
                  </pic:spPr>
                </pic:pic>
              </a:graphicData>
            </a:graphic>
          </wp:inline>
        </w:drawing>
      </w:r>
    </w:p>
    <w:p/>
    <w:p>
      <w:r>
        <w:br w:type="page"/>
      </w:r>
    </w:p>
    <w:p>
      <w:pPr>
        <w:pStyle w:val="Caption"/>
      </w:pPr>
      <w:r>
        <w:t>Detail 2 of 2</w:t>
      </w:r>
    </w:p>
    <w:p>
      <w:r>
        <w:drawing>
          <wp:inline xmlns:a="http://schemas.openxmlformats.org/drawingml/2006/main" xmlns:pic="http://schemas.openxmlformats.org/drawingml/2006/picture">
            <wp:extent cx="5669280" cy="6346444"/>
            <wp:docPr id="23" name="Picture 23"/>
            <wp:cNvGraphicFramePr>
              <a:graphicFrameLocks noChangeAspect="1"/>
            </wp:cNvGraphicFramePr>
            <a:graphic>
              <a:graphicData uri="http://schemas.openxmlformats.org/drawingml/2006/picture">
                <pic:pic>
                  <pic:nvPicPr>
                    <pic:cNvPr id="0" name="09-research-metrics-02.png"/>
                    <pic:cNvPicPr/>
                  </pic:nvPicPr>
                  <pic:blipFill>
                    <a:blip r:embed="rId31"/>
                    <a:stretch>
                      <a:fillRect/>
                    </a:stretch>
                  </pic:blipFill>
                  <pic:spPr>
                    <a:xfrm>
                      <a:off x="0" y="0"/>
                      <a:ext cx="5669280" cy="6346444"/>
                    </a:xfrm>
                    <a:prstGeom prst="rect"/>
                  </pic:spPr>
                </pic:pic>
              </a:graphicData>
            </a:graphic>
          </wp:inline>
        </w:drawing>
      </w:r>
    </w:p>
    <w:p/>
    <w:p>
      <w:r>
        <w:br w:type="page"/>
      </w:r>
    </w:p>
    <w:p>
      <w:pPr>
        <w:pStyle w:val="Heading2"/>
      </w:pPr>
      <w:r>
        <w:t>Experiment Browser</w:t>
      </w:r>
    </w:p>
    <w:p>
      <w:r>
        <w:drawing>
          <wp:inline xmlns:a="http://schemas.openxmlformats.org/drawingml/2006/main" xmlns:pic="http://schemas.openxmlformats.org/drawingml/2006/picture">
            <wp:extent cx="4464494" cy="7040880"/>
            <wp:docPr id="24" name="Picture 24"/>
            <wp:cNvGraphicFramePr>
              <a:graphicFrameLocks noChangeAspect="1"/>
            </wp:cNvGraphicFramePr>
            <a:graphic>
              <a:graphicData uri="http://schemas.openxmlformats.org/drawingml/2006/picture">
                <pic:pic>
                  <pic:nvPicPr>
                    <pic:cNvPr id="0" name="10-experiments.png"/>
                    <pic:cNvPicPr/>
                  </pic:nvPicPr>
                  <pic:blipFill>
                    <a:blip r:embed="rId32"/>
                    <a:stretch>
                      <a:fillRect/>
                    </a:stretch>
                  </pic:blipFill>
                  <pic:spPr>
                    <a:xfrm>
                      <a:off x="0" y="0"/>
                      <a:ext cx="4464494" cy="7040880"/>
                    </a:xfrm>
                    <a:prstGeom prst="rect"/>
                  </pic:spPr>
                </pic:pic>
              </a:graphicData>
            </a:graphic>
          </wp:inline>
        </w:drawing>
      </w:r>
    </w:p>
    <w:p/>
    <w:p>
      <w:pPr>
        <w:pStyle w:val="Caption"/>
      </w:pPr>
      <w:r>
        <w:t>Detail 1 of 2</w:t>
      </w:r>
    </w:p>
    <w:p>
      <w:r>
        <w:drawing>
          <wp:inline xmlns:a="http://schemas.openxmlformats.org/drawingml/2006/main" xmlns:pic="http://schemas.openxmlformats.org/drawingml/2006/picture">
            <wp:extent cx="5669280" cy="6346444"/>
            <wp:docPr id="25" name="Picture 25"/>
            <wp:cNvGraphicFramePr>
              <a:graphicFrameLocks noChangeAspect="1"/>
            </wp:cNvGraphicFramePr>
            <a:graphic>
              <a:graphicData uri="http://schemas.openxmlformats.org/drawingml/2006/picture">
                <pic:pic>
                  <pic:nvPicPr>
                    <pic:cNvPr id="0" name="10-experiments-01.png"/>
                    <pic:cNvPicPr/>
                  </pic:nvPicPr>
                  <pic:blipFill>
                    <a:blip r:embed="rId33"/>
                    <a:stretch>
                      <a:fillRect/>
                    </a:stretch>
                  </pic:blipFill>
                  <pic:spPr>
                    <a:xfrm>
                      <a:off x="0" y="0"/>
                      <a:ext cx="5669280" cy="6346444"/>
                    </a:xfrm>
                    <a:prstGeom prst="rect"/>
                  </pic:spPr>
                </pic:pic>
              </a:graphicData>
            </a:graphic>
          </wp:inline>
        </w:drawing>
      </w:r>
    </w:p>
    <w:p/>
    <w:p>
      <w:r>
        <w:br w:type="page"/>
      </w:r>
    </w:p>
    <w:p>
      <w:pPr>
        <w:pStyle w:val="Caption"/>
      </w:pPr>
      <w:r>
        <w:t>Detail 2 of 2</w:t>
      </w:r>
    </w:p>
    <w:p>
      <w:r>
        <w:drawing>
          <wp:inline xmlns:a="http://schemas.openxmlformats.org/drawingml/2006/main" xmlns:pic="http://schemas.openxmlformats.org/drawingml/2006/picture">
            <wp:extent cx="5669280" cy="2594483"/>
            <wp:docPr id="26" name="Picture 26"/>
            <wp:cNvGraphicFramePr>
              <a:graphicFrameLocks noChangeAspect="1"/>
            </wp:cNvGraphicFramePr>
            <a:graphic>
              <a:graphicData uri="http://schemas.openxmlformats.org/drawingml/2006/picture">
                <pic:pic>
                  <pic:nvPicPr>
                    <pic:cNvPr id="0" name="10-experiments-02.png"/>
                    <pic:cNvPicPr/>
                  </pic:nvPicPr>
                  <pic:blipFill>
                    <a:blip r:embed="rId34"/>
                    <a:stretch>
                      <a:fillRect/>
                    </a:stretch>
                  </pic:blipFill>
                  <pic:spPr>
                    <a:xfrm>
                      <a:off x="0" y="0"/>
                      <a:ext cx="5669280" cy="2594483"/>
                    </a:xfrm>
                    <a:prstGeom prst="rect"/>
                  </pic:spPr>
                </pic:pic>
              </a:graphicData>
            </a:graphic>
          </wp:inline>
        </w:drawing>
      </w:r>
    </w:p>
    <w:p/>
    <w:p>
      <w:r>
        <w:br w:type="page"/>
      </w:r>
    </w:p>
    <w:p>
      <w:pPr>
        <w:pStyle w:val="Heading2"/>
      </w:pPr>
      <w:r>
        <w:t>Detection History</w:t>
      </w:r>
    </w:p>
    <w:p>
      <w:r>
        <w:drawing>
          <wp:inline xmlns:a="http://schemas.openxmlformats.org/drawingml/2006/main" xmlns:pic="http://schemas.openxmlformats.org/drawingml/2006/picture">
            <wp:extent cx="5669280" cy="5157470"/>
            <wp:docPr id="27" name="Picture 27"/>
            <wp:cNvGraphicFramePr>
              <a:graphicFrameLocks noChangeAspect="1"/>
            </wp:cNvGraphicFramePr>
            <a:graphic>
              <a:graphicData uri="http://schemas.openxmlformats.org/drawingml/2006/picture">
                <pic:pic>
                  <pic:nvPicPr>
                    <pic:cNvPr id="0" name="11-history.png"/>
                    <pic:cNvPicPr/>
                  </pic:nvPicPr>
                  <pic:blipFill>
                    <a:blip r:embed="rId35"/>
                    <a:stretch>
                      <a:fillRect/>
                    </a:stretch>
                  </pic:blipFill>
                  <pic:spPr>
                    <a:xfrm>
                      <a:off x="0" y="0"/>
                      <a:ext cx="5669280" cy="5157470"/>
                    </a:xfrm>
                    <a:prstGeom prst="rect"/>
                  </pic:spPr>
                </pic:pic>
              </a:graphicData>
            </a:graphic>
          </wp:inline>
        </w:drawing>
      </w:r>
    </w:p>
    <w:p/>
    <w:p>
      <w:r>
        <w:br w:type="page"/>
      </w:r>
    </w:p>
    <w:p>
      <w:pPr>
        <w:pStyle w:val="Heading2"/>
      </w:pPr>
      <w:r>
        <w:t>Inference Browser</w:t>
      </w:r>
    </w:p>
    <w:p>
      <w:r>
        <w:drawing>
          <wp:inline xmlns:a="http://schemas.openxmlformats.org/drawingml/2006/main" xmlns:pic="http://schemas.openxmlformats.org/drawingml/2006/picture">
            <wp:extent cx="5669280" cy="3543300"/>
            <wp:docPr id="28" name="Picture 28"/>
            <wp:cNvGraphicFramePr>
              <a:graphicFrameLocks noChangeAspect="1"/>
            </wp:cNvGraphicFramePr>
            <a:graphic>
              <a:graphicData uri="http://schemas.openxmlformats.org/drawingml/2006/picture">
                <pic:pic>
                  <pic:nvPicPr>
                    <pic:cNvPr id="0" name="12-inference.png"/>
                    <pic:cNvPicPr/>
                  </pic:nvPicPr>
                  <pic:blipFill>
                    <a:blip r:embed="rId36"/>
                    <a:stretch>
                      <a:fillRect/>
                    </a:stretch>
                  </pic:blipFill>
                  <pic:spPr>
                    <a:xfrm>
                      <a:off x="0" y="0"/>
                      <a:ext cx="5669280" cy="3543300"/>
                    </a:xfrm>
                    <a:prstGeom prst="rect"/>
                  </pic:spPr>
                </pic:pic>
              </a:graphicData>
            </a:graphic>
          </wp:inline>
        </w:drawing>
      </w:r>
    </w:p>
    <w:p/>
    <w:p>
      <w:r>
        <w:br w:type="page"/>
      </w:r>
    </w:p>
    <w:p>
      <w:pPr>
        <w:pStyle w:val="Heading2"/>
      </w:pPr>
      <w:r>
        <w:t>System Administration</w:t>
      </w:r>
    </w:p>
    <w:p>
      <w:r>
        <w:drawing>
          <wp:inline xmlns:a="http://schemas.openxmlformats.org/drawingml/2006/main" xmlns:pic="http://schemas.openxmlformats.org/drawingml/2006/picture">
            <wp:extent cx="5669280" cy="3610229"/>
            <wp:docPr id="29" name="Picture 29"/>
            <wp:cNvGraphicFramePr>
              <a:graphicFrameLocks noChangeAspect="1"/>
            </wp:cNvGraphicFramePr>
            <a:graphic>
              <a:graphicData uri="http://schemas.openxmlformats.org/drawingml/2006/picture">
                <pic:pic>
                  <pic:nvPicPr>
                    <pic:cNvPr id="0" name="13-admin.png"/>
                    <pic:cNvPicPr/>
                  </pic:nvPicPr>
                  <pic:blipFill>
                    <a:blip r:embed="rId37"/>
                    <a:stretch>
                      <a:fillRect/>
                    </a:stretch>
                  </pic:blipFill>
                  <pic:spPr>
                    <a:xfrm>
                      <a:off x="0" y="0"/>
                      <a:ext cx="5669280" cy="3610229"/>
                    </a:xfrm>
                    <a:prstGeom prst="rect"/>
                  </pic:spPr>
                </pic:pic>
              </a:graphicData>
            </a:graphic>
          </wp:inline>
        </w:drawing>
      </w:r>
    </w:p>
    <w:p/>
    <w:p>
      <w:r>
        <w:br w:type="page"/>
      </w:r>
    </w:p>
    <w:p>
      <w:pPr>
        <w:pStyle w:val="Heading2"/>
      </w:pPr>
      <w:r>
        <w:t>Documentation Hub</w:t>
      </w:r>
    </w:p>
    <w:p>
      <w:r>
        <w:drawing>
          <wp:inline xmlns:a="http://schemas.openxmlformats.org/drawingml/2006/main" xmlns:pic="http://schemas.openxmlformats.org/drawingml/2006/picture">
            <wp:extent cx="5669280" cy="4185031"/>
            <wp:docPr id="30" name="Picture 30"/>
            <wp:cNvGraphicFramePr>
              <a:graphicFrameLocks noChangeAspect="1"/>
            </wp:cNvGraphicFramePr>
            <a:graphic>
              <a:graphicData uri="http://schemas.openxmlformats.org/drawingml/2006/picture">
                <pic:pic>
                  <pic:nvPicPr>
                    <pic:cNvPr id="0" name="14-docs.png"/>
                    <pic:cNvPicPr/>
                  </pic:nvPicPr>
                  <pic:blipFill>
                    <a:blip r:embed="rId38"/>
                    <a:stretch>
                      <a:fillRect/>
                    </a:stretch>
                  </pic:blipFill>
                  <pic:spPr>
                    <a:xfrm>
                      <a:off x="0" y="0"/>
                      <a:ext cx="5669280" cy="4185031"/>
                    </a:xfrm>
                    <a:prstGeom prst="rect"/>
                  </pic:spPr>
                </pic:pic>
              </a:graphicData>
            </a:graphic>
          </wp:inline>
        </w:drawing>
      </w:r>
    </w:p>
    <w:p/>
    <w:p>
      <w:r>
        <w:br w:type="page"/>
      </w:r>
    </w:p>
    <w:p>
      <w:pPr>
        <w:pStyle w:val="Heading2"/>
      </w:pPr>
      <w:r>
        <w:t>API Documentation (Swagger)</w:t>
      </w:r>
    </w:p>
    <w:p>
      <w:r>
        <w:drawing>
          <wp:inline xmlns:a="http://schemas.openxmlformats.org/drawingml/2006/main" xmlns:pic="http://schemas.openxmlformats.org/drawingml/2006/picture">
            <wp:extent cx="2502806" cy="7040880"/>
            <wp:docPr id="31" name="Picture 31"/>
            <wp:cNvGraphicFramePr>
              <a:graphicFrameLocks noChangeAspect="1"/>
            </wp:cNvGraphicFramePr>
            <a:graphic>
              <a:graphicData uri="http://schemas.openxmlformats.org/drawingml/2006/picture">
                <pic:pic>
                  <pic:nvPicPr>
                    <pic:cNvPr id="0" name="15-api-docs.png"/>
                    <pic:cNvPicPr/>
                  </pic:nvPicPr>
                  <pic:blipFill>
                    <a:blip r:embed="rId39"/>
                    <a:stretch>
                      <a:fillRect/>
                    </a:stretch>
                  </pic:blipFill>
                  <pic:spPr>
                    <a:xfrm>
                      <a:off x="0" y="0"/>
                      <a:ext cx="2502806" cy="7040880"/>
                    </a:xfrm>
                    <a:prstGeom prst="rect"/>
                  </pic:spPr>
                </pic:pic>
              </a:graphicData>
            </a:graphic>
          </wp:inline>
        </w:drawing>
      </w:r>
    </w:p>
    <w:p/>
    <w:p>
      <w:r>
        <w:br w:type="page"/>
      </w:r>
    </w:p>
    <w:p>
      <w:pPr>
        <w:pStyle w:val="Heading1"/>
      </w:pPr>
      <w:r>
        <w:t>12. API and Application Surface</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Method</w:t>
            </w:r>
          </w:p>
        </w:tc>
        <w:tc>
          <w:tcPr>
            <w:tcW w:type="dxa" w:w="3408"/>
          </w:tcPr>
          <w:p>
            <w:r>
              <w:rPr>
                <w:b/>
              </w:rPr>
              <w:t>Endpoint</w:t>
            </w:r>
          </w:p>
        </w:tc>
        <w:tc>
          <w:tcPr>
            <w:tcW w:type="dxa" w:w="3408"/>
          </w:tcPr>
          <w:p>
            <w:r>
              <w:rPr>
                <w:b/>
              </w:rPr>
              <w:t>Purpose</w:t>
            </w:r>
          </w:p>
        </w:tc>
      </w:tr>
      <w:tr>
        <w:tc>
          <w:tcPr>
            <w:tcW w:type="dxa" w:w="3408"/>
          </w:tcPr>
          <w:p>
            <w:r>
              <w:t>GET</w:t>
            </w:r>
          </w:p>
        </w:tc>
        <w:tc>
          <w:tcPr>
            <w:tcW w:type="dxa" w:w="3408"/>
          </w:tcPr>
          <w:p>
            <w:r>
              <w:t>/health</w:t>
            </w:r>
          </w:p>
        </w:tc>
        <w:tc>
          <w:tcPr>
            <w:tcW w:type="dxa" w:w="3408"/>
          </w:tcPr>
          <w:p>
            <w:r>
              <w:t>Process liveness</w:t>
            </w:r>
          </w:p>
        </w:tc>
      </w:tr>
      <w:tr>
        <w:tc>
          <w:tcPr>
            <w:tcW w:type="dxa" w:w="3408"/>
          </w:tcPr>
          <w:p>
            <w:r>
              <w:t>POST</w:t>
            </w:r>
          </w:p>
        </w:tc>
        <w:tc>
          <w:tcPr>
            <w:tcW w:type="dxa" w:w="3408"/>
          </w:tcPr>
          <w:p>
            <w:r>
              <w:t>/api/v1/inference</w:t>
            </w:r>
          </w:p>
        </w:tc>
        <w:tc>
          <w:tcPr>
            <w:tcW w:type="dxa" w:w="3408"/>
          </w:tcPr>
          <w:p>
            <w:r>
              <w:t>Upload and classify audio</w:t>
            </w:r>
          </w:p>
        </w:tc>
      </w:tr>
      <w:tr>
        <w:tc>
          <w:tcPr>
            <w:tcW w:type="dxa" w:w="3408"/>
          </w:tcPr>
          <w:p>
            <w:r>
              <w:t>POST</w:t>
            </w:r>
          </w:p>
        </w:tc>
        <w:tc>
          <w:tcPr>
            <w:tcW w:type="dxa" w:w="3408"/>
          </w:tcPr>
          <w:p>
            <w:r>
              <w:t>/api/v1/live/session</w:t>
            </w:r>
          </w:p>
        </w:tc>
        <w:tc>
          <w:tcPr>
            <w:tcW w:type="dxa" w:w="3408"/>
          </w:tcPr>
          <w:p>
            <w:r>
              <w:t>Create streaming session</w:t>
            </w:r>
          </w:p>
        </w:tc>
      </w:tr>
      <w:tr>
        <w:tc>
          <w:tcPr>
            <w:tcW w:type="dxa" w:w="3408"/>
          </w:tcPr>
          <w:p>
            <w:r>
              <w:t>POST</w:t>
            </w:r>
          </w:p>
        </w:tc>
        <w:tc>
          <w:tcPr>
            <w:tcW w:type="dxa" w:w="3408"/>
          </w:tcPr>
          <w:p>
            <w:r>
              <w:t>/api/v1/live/ingest</w:t>
            </w:r>
          </w:p>
        </w:tc>
        <w:tc>
          <w:tcPr>
            <w:tcW w:type="dxa" w:w="3408"/>
          </w:tcPr>
          <w:p>
            <w:r>
              <w:t>Ingest PCM16 window</w:t>
            </w:r>
          </w:p>
        </w:tc>
      </w:tr>
      <w:tr>
        <w:tc>
          <w:tcPr>
            <w:tcW w:type="dxa" w:w="3408"/>
          </w:tcPr>
          <w:p>
            <w:r>
              <w:t>GET</w:t>
            </w:r>
          </w:p>
        </w:tc>
        <w:tc>
          <w:tcPr>
            <w:tcW w:type="dxa" w:w="3408"/>
          </w:tcPr>
          <w:p>
            <w:r>
              <w:t>/api/v1/metrics</w:t>
            </w:r>
          </w:p>
        </w:tc>
        <w:tc>
          <w:tcPr>
            <w:tcW w:type="dxa" w:w="3408"/>
          </w:tcPr>
          <w:p>
            <w:r>
              <w:t>Measured held-out test metrics</w:t>
            </w:r>
          </w:p>
        </w:tc>
      </w:tr>
      <w:tr>
        <w:tc>
          <w:tcPr>
            <w:tcW w:type="dxa" w:w="3408"/>
          </w:tcPr>
          <w:p>
            <w:r>
              <w:t>GET</w:t>
            </w:r>
          </w:p>
        </w:tc>
        <w:tc>
          <w:tcPr>
            <w:tcW w:type="dxa" w:w="3408"/>
          </w:tcPr>
          <w:p>
            <w:r>
              <w:t>/api/v1/calibration</w:t>
            </w:r>
          </w:p>
        </w:tc>
        <w:tc>
          <w:tcPr>
            <w:tcW w:type="dxa" w:w="3408"/>
          </w:tcPr>
          <w:p>
            <w:r>
              <w:t>ECE, Brier, reliability and coverage</w:t>
            </w:r>
          </w:p>
        </w:tc>
      </w:tr>
      <w:tr>
        <w:tc>
          <w:tcPr>
            <w:tcW w:type="dxa" w:w="3408"/>
          </w:tcPr>
          <w:p>
            <w:r>
              <w:t>GET</w:t>
            </w:r>
          </w:p>
        </w:tc>
        <w:tc>
          <w:tcPr>
            <w:tcW w:type="dxa" w:w="3408"/>
          </w:tcPr>
          <w:p>
            <w:r>
              <w:t>/api/v1/metrics/pipeline</w:t>
            </w:r>
          </w:p>
        </w:tc>
        <w:tc>
          <w:tcPr>
            <w:tcW w:type="dxa" w:w="3408"/>
          </w:tcPr>
          <w:p>
            <w:r>
              <w:t>Checkpoint and training provenance</w:t>
            </w:r>
          </w:p>
        </w:tc>
      </w:tr>
      <w:tr>
        <w:tc>
          <w:tcPr>
            <w:tcW w:type="dxa" w:w="3408"/>
          </w:tcPr>
          <w:p>
            <w:r>
              <w:t>GET</w:t>
            </w:r>
          </w:p>
        </w:tc>
        <w:tc>
          <w:tcPr>
            <w:tcW w:type="dxa" w:w="3408"/>
          </w:tcPr>
          <w:p>
            <w:r>
              <w:t>/api/v1/datasets/explorer</w:t>
            </w:r>
          </w:p>
        </w:tc>
        <w:tc>
          <w:tcPr>
            <w:tcW w:type="dxa" w:w="3408"/>
          </w:tcPr>
          <w:p>
            <w:r>
              <w:t>Corpus inventory and audio samples</w:t>
            </w:r>
          </w:p>
        </w:tc>
      </w:tr>
      <w:tr>
        <w:tc>
          <w:tcPr>
            <w:tcW w:type="dxa" w:w="3408"/>
          </w:tcPr>
          <w:p>
            <w:r>
              <w:t>GET</w:t>
            </w:r>
          </w:p>
        </w:tc>
        <w:tc>
          <w:tcPr>
            <w:tcW w:type="dxa" w:w="3408"/>
          </w:tcPr>
          <w:p>
            <w:r>
              <w:t>/api/v1/explain</w:t>
            </w:r>
          </w:p>
        </w:tc>
        <w:tc>
          <w:tcPr>
            <w:tcW w:type="dxa" w:w="3408"/>
          </w:tcPr>
          <w:p>
            <w:r>
              <w:t>Explainability artefact ledger</w:t>
            </w:r>
          </w:p>
        </w:tc>
      </w:tr>
      <w:tr>
        <w:tc>
          <w:tcPr>
            <w:tcW w:type="dxa" w:w="3408"/>
          </w:tcPr>
          <w:p>
            <w:r>
              <w:t>POST</w:t>
            </w:r>
          </w:p>
        </w:tc>
        <w:tc>
          <w:tcPr>
            <w:tcW w:type="dxa" w:w="3408"/>
          </w:tcPr>
          <w:p>
            <w:r>
              <w:t>/api/v1/human-study/register</w:t>
            </w:r>
          </w:p>
        </w:tc>
        <w:tc>
          <w:tcPr>
            <w:tcW w:type="dxa" w:w="3408"/>
          </w:tcPr>
          <w:p>
            <w:r>
              <w:t>Anonymous study registration</w:t>
            </w:r>
          </w:p>
        </w:tc>
      </w:tr>
      <w:tr>
        <w:tc>
          <w:tcPr>
            <w:tcW w:type="dxa" w:w="3408"/>
          </w:tcPr>
          <w:p>
            <w:r>
              <w:t>POST</w:t>
            </w:r>
          </w:p>
        </w:tc>
        <w:tc>
          <w:tcPr>
            <w:tcW w:type="dxa" w:w="3408"/>
          </w:tcPr>
          <w:p>
            <w:r>
              <w:t>/api/v1/human-study/response</w:t>
            </w:r>
          </w:p>
        </w:tc>
        <w:tc>
          <w:tcPr>
            <w:tcW w:type="dxa" w:w="3408"/>
          </w:tcPr>
          <w:p>
            <w:r>
              <w:t>Record judgement and confidence</w:t>
            </w:r>
          </w:p>
        </w:tc>
      </w:tr>
      <w:tr>
        <w:tc>
          <w:tcPr>
            <w:tcW w:type="dxa" w:w="3408"/>
          </w:tcPr>
          <w:p>
            <w:r>
              <w:t>GET</w:t>
            </w:r>
          </w:p>
        </w:tc>
        <w:tc>
          <w:tcPr>
            <w:tcW w:type="dxa" w:w="3408"/>
          </w:tcPr>
          <w:p>
            <w:r>
              <w:t>/api/v1/admin/status</w:t>
            </w:r>
          </w:p>
        </w:tc>
        <w:tc>
          <w:tcPr>
            <w:tcW w:type="dxa" w:w="3408"/>
          </w:tcPr>
          <w:p>
            <w:r>
              <w:t>Local environment and hardware status</w:t>
            </w:r>
          </w:p>
        </w:tc>
      </w:tr>
    </w:tbl>
    <w:p/>
    <w:p>
      <w:pPr>
        <w:pStyle w:val="Heading1"/>
      </w:pPr>
      <w:r>
        <w:t>13. Reproducibility and Deployment</w:t>
      </w:r>
    </w:p>
    <w:tbl>
      <w:tblPr>
        <w:tblStyle w:val="TableGrid"/>
        <w:tblW w:type="auto" w:w="0"/>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Value</w:t>
            </w:r>
          </w:p>
        </w:tc>
      </w:tr>
      <w:tr>
        <w:tc>
          <w:tcPr>
            <w:tcW w:type="dxa" w:w="5112"/>
          </w:tcPr>
          <w:p>
            <w:r>
              <w:t>Random seed</w:t>
            </w:r>
          </w:p>
        </w:tc>
        <w:tc>
          <w:tcPr>
            <w:tcW w:type="dxa" w:w="5112"/>
          </w:tcPr>
          <w:p>
            <w:r>
              <w:t>42</w:t>
            </w:r>
          </w:p>
        </w:tc>
      </w:tr>
      <w:tr>
        <w:tc>
          <w:tcPr>
            <w:tcW w:type="dxa" w:w="5112"/>
          </w:tcPr>
          <w:p>
            <w:r>
              <w:t>Python</w:t>
            </w:r>
          </w:p>
        </w:tc>
        <w:tc>
          <w:tcPr>
            <w:tcW w:type="dxa" w:w="5112"/>
          </w:tcPr>
          <w:p>
            <w:r>
              <w:t>3.11.16</w:t>
            </w:r>
          </w:p>
        </w:tc>
      </w:tr>
      <w:tr>
        <w:tc>
          <w:tcPr>
            <w:tcW w:type="dxa" w:w="5112"/>
          </w:tcPr>
          <w:p>
            <w:r>
              <w:t>GPU</w:t>
            </w:r>
          </w:p>
        </w:tc>
        <w:tc>
          <w:tcPr>
            <w:tcW w:type="dxa" w:w="5112"/>
          </w:tcPr>
          <w:p>
            <w:r>
              <w:t>NVIDIA GeForce RTX 3050 6GB Laptop GPU</w:t>
            </w:r>
          </w:p>
        </w:tc>
      </w:tr>
      <w:tr>
        <w:tc>
          <w:tcPr>
            <w:tcW w:type="dxa" w:w="5112"/>
          </w:tcPr>
          <w:p>
            <w:r>
              <w:t>CUDA</w:t>
            </w:r>
          </w:p>
        </w:tc>
        <w:tc>
          <w:tcPr>
            <w:tcW w:type="dxa" w:w="5112"/>
          </w:tcPr>
          <w:p>
            <w:r>
              <w:t>True</w:t>
            </w:r>
          </w:p>
        </w:tc>
      </w:tr>
      <w:tr>
        <w:tc>
          <w:tcPr>
            <w:tcW w:type="dxa" w:w="5112"/>
          </w:tcPr>
          <w:p>
            <w:r>
              <w:t>Checkpoint</w:t>
            </w:r>
          </w:p>
        </w:tc>
        <w:tc>
          <w:tcPr>
            <w:tcW w:type="dxa" w:w="5112"/>
          </w:tcPr>
          <w:p>
            <w:r>
              <w:t>AASIST v1 NumPy weights</w:t>
            </w:r>
          </w:p>
        </w:tc>
      </w:tr>
      <w:tr>
        <w:tc>
          <w:tcPr>
            <w:tcW w:type="dxa" w:w="5112"/>
          </w:tcPr>
          <w:p>
            <w:r>
              <w:t>Dataset manifest</w:t>
            </w:r>
          </w:p>
        </w:tc>
        <w:tc>
          <w:tcPr>
            <w:tcW w:type="dxa" w:w="5112"/>
          </w:tcPr>
          <w:p>
            <w:r>
              <w:t>2346 clips; versioned train/val/test labels</w:t>
            </w:r>
          </w:p>
        </w:tc>
      </w:tr>
      <w:tr>
        <w:tc>
          <w:tcPr>
            <w:tcW w:type="dxa" w:w="5112"/>
          </w:tcPr>
          <w:p>
            <w:r>
              <w:t>Local API</w:t>
            </w:r>
          </w:p>
        </w:tc>
        <w:tc>
          <w:tcPr>
            <w:tcW w:type="dxa" w:w="5112"/>
          </w:tcPr>
          <w:p>
            <w:r>
              <w:t>FastAPI/Uvicorn</w:t>
            </w:r>
          </w:p>
        </w:tc>
      </w:tr>
      <w:tr>
        <w:tc>
          <w:tcPr>
            <w:tcW w:type="dxa" w:w="5112"/>
          </w:tcPr>
          <w:p>
            <w:r>
              <w:t>Web application</w:t>
            </w:r>
          </w:p>
        </w:tc>
        <w:tc>
          <w:tcPr>
            <w:tcW w:type="dxa" w:w="5112"/>
          </w:tcPr>
          <w:p>
            <w:r>
              <w:t>React/Vite</w:t>
            </w:r>
          </w:p>
        </w:tc>
      </w:tr>
      <w:tr>
        <w:tc>
          <w:tcPr>
            <w:tcW w:type="dxa" w:w="5112"/>
          </w:tcPr>
          <w:p>
            <w:r>
              <w:t>Deployment profiles</w:t>
            </w:r>
          </w:p>
        </w:tc>
        <w:tc>
          <w:tcPr>
            <w:tcW w:type="dxa" w:w="5112"/>
          </w:tcPr>
          <w:p>
            <w:r>
              <w:t>Local, Docker Compose, HF Spaces scaffold</w:t>
            </w:r>
          </w:p>
        </w:tc>
      </w:tr>
    </w:tbl>
    <w:p/>
    <w:p>
      <w:r>
        <w:t>Every reported score in this document is read from the persisted training report produced by the deterministic training command. The document generator captures fresh API state and screenshots, then verifies that embedded images fit inside the printable page area.</w:t>
      </w:r>
    </w:p>
    <w:p>
      <w:pPr>
        <w:pStyle w:val="Heading1"/>
      </w:pPr>
      <w:r>
        <w:t>14. Presentation Flow (Recommended)</w:t>
      </w:r>
    </w:p>
    <w:p>
      <w:r>
        <w:t>1. Open with the problem: AI voice cloning fraud in Indian languages via compressed WhatsApp voice notes.</w:t>
      </w:r>
    </w:p>
    <w:p>
      <w:r>
        <w:t>2. State the three contributions: compression-robust detection, calibrated reliability, human baseline.</w:t>
      </w:r>
    </w:p>
    <w:p>
      <w:r>
        <w:t>3. Show architecture diagram and pipeline (Section 3).</w:t>
      </w:r>
    </w:p>
    <w:p>
      <w:r>
        <w:t>4. Live demo: Upload real clip → REAL verdict. Upload fake clip → FAKE verdict.</w:t>
      </w:r>
    </w:p>
    <w:p>
      <w:r>
        <w:t>5. Live demo: Microphone streaming — speak naturally, show REAL windows.</w:t>
      </w:r>
    </w:p>
    <w:p>
      <w:r>
        <w:t>6. Dashboard: pipeline status, validation accuracy, GPU.</w:t>
      </w:r>
    </w:p>
    <w:p>
      <w:r>
        <w:t>7. Calibration page: ECE, Brier, reliability diagram.</w:t>
      </w:r>
    </w:p>
    <w:p>
      <w:r>
        <w:t>8. Explainability: heatmaps and frequency bands.</w:t>
      </w:r>
    </w:p>
    <w:p>
      <w:r>
        <w:t>9. Human study protocol walkthrough.</w:t>
      </w:r>
    </w:p>
    <w:p>
      <w:r>
        <w:t>10. Honest limitations: bounded publication subset, model baselines, and human study.</w:t>
      </w:r>
    </w:p>
    <w:p>
      <w:r>
        <w:t>11. Close with novelty claim and future work toward conference submission.</w:t>
      </w:r>
    </w:p>
    <w:p>
      <w:r>
        <w:br w:type="page"/>
      </w:r>
    </w:p>
    <w:p>
      <w:pPr>
        <w:pStyle w:val="Heading1"/>
      </w:pPr>
      <w:r>
        <w:t>15. Limitations and Conference Readiness</w:t>
      </w:r>
    </w:p>
    <w:p>
      <w:r>
        <w:t>The software and bounded real/fake benchmark are ready for capstone demonstration. RQ1 detection/compression and RQ4 calibration findings are measured on the persisted speaker-disjoint Kathbath + IndicSynth subset. Conference-level external validity still requires the frozen XLS-R research front-end, multiple detector baselines, broader attack families, and a completed human study. No result in this document is generalized beyond the declared subset.</w:t>
      </w:r>
    </w:p>
    <w:tbl>
      <w:tblPr>
        <w:tblStyle w:val="TableGrid"/>
        <w:tblW w:type="auto" w:w="0"/>
        <w:tblLook w:firstColumn="1" w:firstRow="1" w:lastColumn="0" w:lastRow="0" w:noHBand="0" w:noVBand="1" w:val="04A0"/>
      </w:tblPr>
      <w:tblGrid>
        <w:gridCol w:w="5112"/>
        <w:gridCol w:w="5112"/>
      </w:tblGrid>
      <w:tr>
        <w:tc>
          <w:tcPr>
            <w:tcW w:type="dxa" w:w="5112"/>
          </w:tcPr>
          <w:p>
            <w:r>
              <w:rPr>
                <w:b/>
              </w:rPr>
              <w:t>Conference requirement</w:t>
            </w:r>
          </w:p>
        </w:tc>
        <w:tc>
          <w:tcPr>
            <w:tcW w:type="dxa" w:w="5112"/>
          </w:tcPr>
          <w:p>
            <w:r>
              <w:rPr>
                <w:b/>
              </w:rPr>
              <w:t>Evidence needed</w:t>
            </w:r>
          </w:p>
        </w:tc>
      </w:tr>
      <w:tr>
        <w:tc>
          <w:tcPr>
            <w:tcW w:type="dxa" w:w="5112"/>
          </w:tcPr>
          <w:p>
            <w:r>
              <w:t>Data validity</w:t>
            </w:r>
          </w:p>
        </w:tc>
        <w:tc>
          <w:tcPr>
            <w:tcW w:type="dxa" w:w="5112"/>
          </w:tcPr>
          <w:p>
            <w:r>
              <w:t>Licenced real/fake corpora, speaker IDs, checksums, consent</w:t>
            </w:r>
          </w:p>
        </w:tc>
      </w:tr>
      <w:tr>
        <w:tc>
          <w:tcPr>
            <w:tcW w:type="dxa" w:w="5112"/>
          </w:tcPr>
          <w:p>
            <w:r>
              <w:t>External validity</w:t>
            </w:r>
          </w:p>
        </w:tc>
        <w:tc>
          <w:tcPr>
            <w:tcW w:type="dxa" w:w="5112"/>
          </w:tcPr>
          <w:p>
            <w:r>
              <w:t>Multiple TTS/voice-cloning attacks and recording channels</w:t>
            </w:r>
          </w:p>
        </w:tc>
      </w:tr>
      <w:tr>
        <w:tc>
          <w:tcPr>
            <w:tcW w:type="dxa" w:w="5112"/>
          </w:tcPr>
          <w:p>
            <w:r>
              <w:t>Compression study</w:t>
            </w:r>
          </w:p>
        </w:tc>
        <w:tc>
          <w:tcPr>
            <w:tcW w:type="dxa" w:w="5112"/>
          </w:tcPr>
          <w:p>
            <w:r>
              <w:t>Real ffmpeg Opus twins and paired significance tests</w:t>
            </w:r>
          </w:p>
        </w:tc>
      </w:tr>
      <w:tr>
        <w:tc>
          <w:tcPr>
            <w:tcW w:type="dxa" w:w="5112"/>
          </w:tcPr>
          <w:p>
            <w:r>
              <w:t>Model comparison</w:t>
            </w:r>
          </w:p>
        </w:tc>
        <w:tc>
          <w:tcPr>
            <w:tcW w:type="dxa" w:w="5112"/>
          </w:tcPr>
          <w:p>
            <w:r>
              <w:t>LFCC-GMM, RawNet2, English-only and multilingual checkpoints</w:t>
            </w:r>
          </w:p>
        </w:tc>
      </w:tr>
      <w:tr>
        <w:tc>
          <w:tcPr>
            <w:tcW w:type="dxa" w:w="5112"/>
          </w:tcPr>
          <w:p>
            <w:r>
              <w:t>Uncertainty</w:t>
            </w:r>
          </w:p>
        </w:tc>
        <w:tc>
          <w:tcPr>
            <w:tcW w:type="dxa" w:w="5112"/>
          </w:tcPr>
          <w:p>
            <w:r>
              <w:t>Bootstrap confidence intervals and pre/post calibration tests</w:t>
            </w:r>
          </w:p>
        </w:tc>
      </w:tr>
      <w:tr>
        <w:tc>
          <w:tcPr>
            <w:tcW w:type="dxa" w:w="5112"/>
          </w:tcPr>
          <w:p>
            <w:r>
              <w:t>Human baseline</w:t>
            </w:r>
          </w:p>
        </w:tc>
        <w:tc>
          <w:tcPr>
            <w:tcW w:type="dxa" w:w="5112"/>
          </w:tcPr>
          <w:p>
            <w:r>
              <w:t>At least 12–15 eligible listeners on identical stimuli</w:t>
            </w:r>
          </w:p>
        </w:tc>
      </w:tr>
      <w:tr>
        <w:tc>
          <w:tcPr>
            <w:tcW w:type="dxa" w:w="5112"/>
          </w:tcPr>
          <w:p>
            <w:r>
              <w:t>Paper claims</w:t>
            </w:r>
          </w:p>
        </w:tc>
        <w:tc>
          <w:tcPr>
            <w:tcW w:type="dxa" w:w="5112"/>
          </w:tcPr>
          <w:p>
            <w:r>
              <w:t>Numbers only from frozen, versioned result CSVs</w:t>
            </w:r>
          </w:p>
        </w:tc>
      </w:tr>
    </w:tbl>
    <w:p/>
    <w:p>
      <w:pPr>
        <w:pStyle w:val="Heading1"/>
      </w:pPr>
      <w:r>
        <w:t>16. References</w:t>
      </w:r>
    </w:p>
    <w:p>
      <w:pPr>
        <w:pStyle w:val="ListBullet"/>
      </w:pPr>
      <w:r>
        <w:t>Jung et al. (2022). AASIST: Audio Anti-Spoofing using Integrated Spectro-Temporal Graph Attention Networks. ICASSP. arXiv:2110.01200.</w:t>
      </w:r>
    </w:p>
    <w:p>
      <w:pPr>
        <w:pStyle w:val="ListBullet"/>
      </w:pPr>
      <w:r>
        <w:t>Babu et al. (2021). XLS-R: Self-supervised Cross-lingual Speech Representation Learning at Scale. arXiv:2111.09296.</w:t>
      </w:r>
    </w:p>
    <w:p>
      <w:pPr>
        <w:pStyle w:val="ListBullet"/>
      </w:pPr>
      <w:r>
        <w:t>Pascu et al. (2024). Calibrated deepfake detection in speech (cited in proposal).</w:t>
      </w:r>
    </w:p>
    <w:p>
      <w:pPr>
        <w:pStyle w:val="ListBullet"/>
      </w:pPr>
      <w:r>
        <w:t>VaaniQ Capstone Proposal (2026). Cross-lingual compression-robust detection with human baseline.</w:t>
      </w:r>
    </w:p>
    <w:p>
      <w:pPr>
        <w:pStyle w:val="ListBullet"/>
      </w:pPr>
      <w:r>
        <w:t>Sharma, D. V., Ekbote, V., and Gupta, A. (2025). IndicSynth. ACL 2025, acl-long.1070.</w:t>
      </w:r>
    </w:p>
    <w:p>
      <w:pPr>
        <w:pStyle w:val="ListBullet"/>
      </w:pPr>
      <w:r>
        <w:t>Javed, T. et al. (2022). IndicSUPERB (including Kathbath). arXiv:2208.11761.</w:t>
      </w:r>
    </w:p>
    <w:p>
      <w:pPr>
        <w:pStyle w:val="ListBullet"/>
      </w:pPr>
      <w:r>
        <w:t>Mozilla Common Voice v17 (Hindi, Marathi).</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