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VaaniQ</w:t>
      </w:r>
    </w:p>
    <w:p>
      <w:pPr>
        <w:jc w:val="center"/>
      </w:pPr>
      <w:r>
        <w:rPr>
          <w:i/>
          <w:sz w:val="28"/>
        </w:rPr>
        <w:t>Cross-Lingual, Compression-Robust Detection and Calibrated Reliability Estimation for AI-Generated Voice in Indian Languages, with a Human-Perception Baseline</w:t>
      </w:r>
    </w:p>
    <w:p>
      <w:pPr>
        <w:jc w:val="center"/>
      </w:pPr>
      <w:r>
        <w:rPr>
          <w:sz w:val="20"/>
        </w:rPr>
        <w:t>Master Presentation Document</w:t>
        <w:br/>
        <w:t>Generated: 28 August 2026, 12:51 India Standard Time</w:t>
        <w:br/>
        <w:t>Build: 8f439439a32f</w:t>
      </w:r>
    </w:p>
    <w:p>
      <w:r>
        <w:br w:type="page"/>
      </w:r>
    </w:p>
    <w:p>
      <w:pPr>
        <w:pStyle w:val="Heading1"/>
      </w:pPr>
      <w:r>
        <w:t>1. Executive Summary</w:t>
      </w:r>
    </w:p>
    <w:p>
      <w:r>
        <w:t>VaaniQ is a research-grade capstone system that detects AI-generated (cloned and TTS) voice in Hindi, Marathi, and Tamil. Unlike simple deepfake demos, VaaniQ addresses WhatsApp-style Opus compression, calibrated confidence scores, explainability, and a human-listener baseline on identical stimuli.</w:t>
      </w:r>
    </w:p>
    <w:p>
      <w:r>
        <w:t>This document is the master reference for capstone presentation, viva voce, and conference submission preparation. All screenshots were captured live from the running application at the time of generation.</w:t>
      </w:r>
    </w:p>
    <w:tbl>
      <w:tblPr>
        <w:tblStyle w:val="TableGrid"/>
        <w:tblW w:type="auto" w:w="0"/>
        <w:tblLook w:firstColumn="1" w:firstRow="1" w:lastColumn="0" w:lastRow="0" w:noHBand="0" w:noVBand="1" w:val="04A0"/>
      </w:tblPr>
      <w:tblGrid>
        <w:gridCol w:w="5112"/>
        <w:gridCol w:w="5112"/>
      </w:tblGrid>
      <w:tr>
        <w:tc>
          <w:tcPr>
            <w:tcW w:type="dxa" w:w="5112"/>
          </w:tcPr>
          <w:p>
            <w:r>
              <w:rPr>
                <w:b/>
              </w:rPr>
              <w:t>Component</w:t>
            </w:r>
          </w:p>
        </w:tc>
        <w:tc>
          <w:tcPr>
            <w:tcW w:type="dxa" w:w="5112"/>
          </w:tcPr>
          <w:p>
            <w:r>
              <w:rPr>
                <w:b/>
              </w:rPr>
              <w:t>Status</w:t>
            </w:r>
          </w:p>
        </w:tc>
      </w:tr>
      <w:tr>
        <w:tc>
          <w:tcPr>
            <w:tcW w:type="dxa" w:w="5112"/>
          </w:tcPr>
          <w:p>
            <w:r>
              <w:t>Software stack (API + UI + live + explain + human study)</w:t>
            </w:r>
          </w:p>
        </w:tc>
        <w:tc>
          <w:tcPr>
            <w:tcW w:type="dxa" w:w="5112"/>
          </w:tcPr>
          <w:p>
            <w:r>
              <w:t>Complete and operational</w:t>
            </w:r>
          </w:p>
        </w:tc>
      </w:tr>
      <w:tr>
        <w:tc>
          <w:tcPr>
            <w:tcW w:type="dxa" w:w="5112"/>
          </w:tcPr>
          <w:p>
            <w:r>
              <w:t>Training corpus</w:t>
            </w:r>
          </w:p>
        </w:tc>
        <w:tc>
          <w:tcPr>
            <w:tcW w:type="dxa" w:w="5112"/>
          </w:tcPr>
          <w:p>
            <w:r>
              <w:t>450 clips across Hindi, Marathi, Tamil (1.5 hours)</w:t>
            </w:r>
          </w:p>
        </w:tc>
      </w:tr>
      <w:tr>
        <w:tc>
          <w:tcPr>
            <w:tcW w:type="dxa" w:w="5112"/>
          </w:tcPr>
          <w:p>
            <w:r>
              <w:t>Held-out test accuracy</w:t>
            </w:r>
          </w:p>
        </w:tc>
        <w:tc>
          <w:tcPr>
            <w:tcW w:type="dxa" w:w="5112"/>
          </w:tcPr>
          <w:p>
            <w:r>
              <w:t>97.8%</w:t>
            </w:r>
          </w:p>
        </w:tc>
      </w:tr>
      <w:tr>
        <w:tc>
          <w:tcPr>
            <w:tcW w:type="dxa" w:w="5112"/>
          </w:tcPr>
          <w:p>
            <w:r>
              <w:t>Held-out test EER</w:t>
            </w:r>
          </w:p>
        </w:tc>
        <w:tc>
          <w:tcPr>
            <w:tcW w:type="dxa" w:w="5112"/>
          </w:tcPr>
          <w:p>
            <w:r>
              <w:t>2.2%</w:t>
            </w:r>
          </w:p>
        </w:tc>
      </w:tr>
      <w:tr>
        <w:tc>
          <w:tcPr>
            <w:tcW w:type="dxa" w:w="5112"/>
          </w:tcPr>
          <w:p>
            <w:r>
              <w:t>Detection on demo real clip</w:t>
            </w:r>
          </w:p>
        </w:tc>
        <w:tc>
          <w:tcPr>
            <w:tcW w:type="dxa" w:w="5112"/>
          </w:tcPr>
          <w:p>
            <w:r>
              <w:t>REAL (78% confidence)</w:t>
            </w:r>
          </w:p>
        </w:tc>
      </w:tr>
      <w:tr>
        <w:tc>
          <w:tcPr>
            <w:tcW w:type="dxa" w:w="5112"/>
          </w:tcPr>
          <w:p>
            <w:r>
              <w:t>Detection on demo fake clip</w:t>
            </w:r>
          </w:p>
        </w:tc>
        <w:tc>
          <w:tcPr>
            <w:tcW w:type="dxa" w:w="5112"/>
          </w:tcPr>
          <w:p>
            <w:r>
              <w:t>FAKE (85% confidence)</w:t>
            </w:r>
          </w:p>
        </w:tc>
      </w:tr>
      <w:tr>
        <w:tc>
          <w:tcPr>
            <w:tcW w:type="dxa" w:w="5112"/>
          </w:tcPr>
          <w:p>
            <w:r>
              <w:t>Held-out test ECE</w:t>
            </w:r>
          </w:p>
        </w:tc>
        <w:tc>
          <w:tcPr>
            <w:tcW w:type="dxa" w:w="5112"/>
          </w:tcPr>
          <w:p>
            <w:r>
              <w:t>0.262</w:t>
            </w:r>
          </w:p>
        </w:tc>
      </w:tr>
      <w:tr>
        <w:tc>
          <w:tcPr>
            <w:tcW w:type="dxa" w:w="5112"/>
          </w:tcPr>
          <w:p>
            <w:r>
              <w:t>GPU acceleration</w:t>
            </w:r>
          </w:p>
        </w:tc>
        <w:tc>
          <w:tcPr>
            <w:tcW w:type="dxa" w:w="5112"/>
          </w:tcPr>
          <w:p>
            <w:r>
              <w:t>NVIDIA GeForce RTX 3050 6GB Laptop GPU</w:t>
            </w:r>
          </w:p>
        </w:tc>
      </w:tr>
      <w:tr>
        <w:tc>
          <w:tcPr>
            <w:tcW w:type="dxa" w:w="5112"/>
          </w:tcPr>
          <w:p>
            <w:r>
              <w:t>Human study protocol</w:t>
            </w:r>
          </w:p>
        </w:tc>
        <w:tc>
          <w:tcPr>
            <w:tcW w:type="dxa" w:w="5112"/>
          </w:tcPr>
          <w:p>
            <w:r>
              <w:t>Ready — recruitment pending</w:t>
            </w:r>
          </w:p>
        </w:tc>
      </w:tr>
    </w:tbl>
    <w:p/>
    <w:p>
      <w:r>
        <w:br w:type="page"/>
      </w:r>
    </w:p>
    <w:p>
      <w:pPr>
        <w:pStyle w:val="Heading1"/>
      </w:pPr>
      <w:r>
        <w:t>2. Research Questions and Objectives</w:t>
      </w:r>
    </w:p>
    <w:p>
      <w:pPr>
        <w:pStyle w:val="ListBullet"/>
      </w:pPr>
      <w:r>
        <w:t>RQ1: How much does WhatsApp-style Opus compression degrade multilingual deepfake detectors versus clean audio?</w:t>
      </w:r>
    </w:p>
    <w:p>
      <w:pPr>
        <w:pStyle w:val="ListBullet"/>
      </w:pPr>
      <w:r>
        <w:t>RQ2: Does multilingual training (Hindi + Marathi + Tamil) outperform an English-only baseline on Indic and compressed audio?</w:t>
      </w:r>
    </w:p>
    <w:p>
      <w:pPr>
        <w:pStyle w:val="ListBullet"/>
      </w:pPr>
      <w:r>
        <w:t>RQ3: How well does the model generalise zero-shot to a completely unseen Indian language?</w:t>
      </w:r>
    </w:p>
    <w:p>
      <w:pPr>
        <w:pStyle w:val="ListBullet"/>
      </w:pPr>
      <w:r>
        <w:t>RQ4: Does compression degrade calibration — does the model become confidently wrong?</w:t>
      </w:r>
    </w:p>
    <w:p>
      <w:pPr>
        <w:pStyle w:val="ListBullet"/>
      </w:pPr>
      <w:r>
        <w:t>RQ5: How do model detection and confidence calibration compare to a human-listener baseline?</w:t>
      </w:r>
    </w:p>
    <w:p/>
    <w:p>
      <w:r>
        <w:t>Objectives O1–O8 map to dataset construction, compression simulation, model benchmarking, cross-lingual evaluation, calibration, human study, live demo, and open publication.</w:t>
      </w:r>
    </w:p>
    <w:p>
      <w:r>
        <w:br w:type="page"/>
      </w:r>
    </w:p>
    <w:p>
      <w:pPr>
        <w:pStyle w:val="Heading1"/>
      </w:pPr>
      <w:r>
        <w:t>3. System Architecture</w:t>
      </w:r>
    </w:p>
    <w:p>
      <w:r>
        <w:t>VaaniQ follows clean hexagonal architecture. The React web application communicates with a FastAPI backend. Domain logic is isolated from framework code. Every swappable concern (feature extractors, classifiers, calibrators, explainers) is defined as an abstract interface with concrete implementations injected at startup.</w:t>
      </w:r>
    </w:p>
    <w:p>
      <w:r>
        <w:drawing>
          <wp:inline xmlns:a="http://schemas.openxmlformats.org/drawingml/2006/main" xmlns:pic="http://schemas.openxmlformats.org/drawingml/2006/picture">
            <wp:extent cx="6035040" cy="3379622"/>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6035040" cy="3379622"/>
                    </a:xfrm>
                    <a:prstGeom prst="rect"/>
                  </pic:spPr>
                </pic:pic>
              </a:graphicData>
            </a:graphic>
          </wp:inline>
        </w:drawing>
      </w:r>
    </w:p>
    <w:p/>
    <w:p>
      <w:r>
        <w:t>End-to-end ML pipeline:</w:t>
      </w:r>
    </w:p>
    <w:p>
      <w:pPr>
        <w:pStyle w:val="ListNumber"/>
      </w:pPr>
      <w:r>
        <w:t>Audio ingestion (upload, file drop, or live microphone PCM16 stream)</w:t>
      </w:r>
    </w:p>
    <w:p>
      <w:pPr>
        <w:pStyle w:val="ListNumber"/>
      </w:pPr>
      <w:r>
        <w:t>Validation (MIME type, magic bytes, duration, file size limits)</w:t>
      </w:r>
    </w:p>
    <w:p>
      <w:pPr>
        <w:pStyle w:val="ListNumber"/>
      </w:pPr>
      <w:r>
        <w:t>Preprocessing (16 kHz mono, peak normalisation, silence handling)</w:t>
      </w:r>
    </w:p>
    <w:p>
      <w:pPr>
        <w:pStyle w:val="ListNumber"/>
      </w:pPr>
      <w:r>
        <w:t>Optional Opus compression twin for robustness evaluation</w:t>
      </w:r>
    </w:p>
    <w:p>
      <w:pPr>
        <w:pStyle w:val="ListNumber"/>
      </w:pPr>
      <w:r>
        <w:t>Acoustic embedding extraction (demo path) or frozen Wav2Vec2-XLS-R (research path)</w:t>
      </w:r>
    </w:p>
    <w:p>
      <w:pPr>
        <w:pStyle w:val="ListNumber"/>
      </w:pPr>
      <w:r>
        <w:t>AASIST classifier head — lightweight anti-spoofing graph attention network</w:t>
      </w:r>
    </w:p>
    <w:p>
      <w:pPr>
        <w:pStyle w:val="ListNumber"/>
      </w:pPr>
      <w:r>
        <w:t>Temperature scaling calibration per language and compression condition</w:t>
      </w:r>
    </w:p>
    <w:p>
      <w:pPr>
        <w:pStyle w:val="ListNumber"/>
      </w:pPr>
      <w:r>
        <w:t>Reliability badge assignment based on confidence and entropy</w:t>
      </w:r>
    </w:p>
    <w:p>
      <w:pPr>
        <w:pStyle w:val="ListNumber"/>
      </w:pPr>
      <w:r>
        <w:t>Explainability artefact generation (Grad-CAM, bands, spectrogram, compression view)</w:t>
      </w:r>
    </w:p>
    <w:p>
      <w:pPr>
        <w:pStyle w:val="ListNumber"/>
      </w:pPr>
      <w:r>
        <w:t>Optional Whisper transcription and LLM enrichment for accent and risk notes</w:t>
      </w:r>
    </w:p>
    <w:p>
      <w:r>
        <w:drawing>
          <wp:inline xmlns:a="http://schemas.openxmlformats.org/drawingml/2006/main" xmlns:pic="http://schemas.openxmlformats.org/drawingml/2006/picture">
            <wp:extent cx="6035040" cy="2633472"/>
            <wp:docPr id="2" name="Picture 2"/>
            <wp:cNvGraphicFramePr>
              <a:graphicFrameLocks noChangeAspect="1"/>
            </wp:cNvGraphicFramePr>
            <a:graphic>
              <a:graphicData uri="http://schemas.openxmlformats.org/drawingml/2006/picture">
                <pic:pic>
                  <pic:nvPicPr>
                    <pic:cNvPr id="0" name="ml_pipeline.png"/>
                    <pic:cNvPicPr/>
                  </pic:nvPicPr>
                  <pic:blipFill>
                    <a:blip r:embed="rId10"/>
                    <a:stretch>
                      <a:fillRect/>
                    </a:stretch>
                  </pic:blipFill>
                  <pic:spPr>
                    <a:xfrm>
                      <a:off x="0" y="0"/>
                      <a:ext cx="6035040" cy="2633472"/>
                    </a:xfrm>
                    <a:prstGeom prst="rect"/>
                  </pic:spPr>
                </pic:pic>
              </a:graphicData>
            </a:graphic>
          </wp:inline>
        </w:drawing>
      </w:r>
    </w:p>
    <w:p/>
    <w:p>
      <w:r>
        <w:br w:type="page"/>
      </w:r>
    </w:p>
    <w:p>
      <w:pPr>
        <w:pStyle w:val="Heading1"/>
      </w:pPr>
      <w:r>
        <w:t>4. Technology Stack</w:t>
      </w:r>
    </w:p>
    <w:tbl>
      <w:tblPr>
        <w:tblStyle w:val="TableGrid"/>
        <w:tblW w:type="auto" w:w="0"/>
        <w:tblLook w:firstColumn="1" w:firstRow="1" w:lastColumn="0" w:lastRow="0" w:noHBand="0" w:noVBand="1" w:val="04A0"/>
      </w:tblPr>
      <w:tblGrid>
        <w:gridCol w:w="5112"/>
        <w:gridCol w:w="5112"/>
      </w:tblGrid>
      <w:tr>
        <w:tc>
          <w:tcPr>
            <w:tcW w:type="dxa" w:w="5112"/>
          </w:tcPr>
          <w:p>
            <w:r>
              <w:rPr>
                <w:b/>
              </w:rPr>
              <w:t>Layer</w:t>
            </w:r>
          </w:p>
        </w:tc>
        <w:tc>
          <w:tcPr>
            <w:tcW w:type="dxa" w:w="5112"/>
          </w:tcPr>
          <w:p>
            <w:r>
              <w:rPr>
                <w:b/>
              </w:rPr>
              <w:t>Technologies</w:t>
            </w:r>
          </w:p>
        </w:tc>
      </w:tr>
      <w:tr>
        <w:tc>
          <w:tcPr>
            <w:tcW w:type="dxa" w:w="5112"/>
          </w:tcPr>
          <w:p>
            <w:r>
              <w:t>Backend</w:t>
            </w:r>
          </w:p>
        </w:tc>
        <w:tc>
          <w:tcPr>
            <w:tcW w:type="dxa" w:w="5112"/>
          </w:tcPr>
          <w:p>
            <w:r>
              <w:t>Python 3.11, FastAPI, Uvicorn, Pydantic v2, structlog</w:t>
            </w:r>
          </w:p>
        </w:tc>
      </w:tr>
      <w:tr>
        <w:tc>
          <w:tcPr>
            <w:tcW w:type="dxa" w:w="5112"/>
          </w:tcPr>
          <w:p>
            <w:r>
              <w:t>ML</w:t>
            </w:r>
          </w:p>
        </w:tc>
        <w:tc>
          <w:tcPr>
            <w:tcW w:type="dxa" w:w="5112"/>
          </w:tcPr>
          <w:p>
            <w:r>
              <w:t>NumPy AASIST-style demo head, optional PyTorch 2.6 + CUDA, faster-whisper</w:t>
            </w:r>
          </w:p>
        </w:tc>
      </w:tr>
      <w:tr>
        <w:tc>
          <w:tcPr>
            <w:tcW w:type="dxa" w:w="5112"/>
          </w:tcPr>
          <w:p>
            <w:r>
              <w:t>Frontend</w:t>
            </w:r>
          </w:p>
        </w:tc>
        <w:tc>
          <w:tcPr>
            <w:tcW w:type="dxa" w:w="5112"/>
          </w:tcPr>
          <w:p>
            <w:r>
              <w:t>React, TypeScript (strict), Vite, TanStack Query, Tailwind, shadcn/ui</w:t>
            </w:r>
          </w:p>
        </w:tc>
      </w:tr>
      <w:tr>
        <w:tc>
          <w:tcPr>
            <w:tcW w:type="dxa" w:w="5112"/>
          </w:tcPr>
          <w:p>
            <w:r>
              <w:t>GPU</w:t>
            </w:r>
          </w:p>
        </w:tc>
        <w:tc>
          <w:tcPr>
            <w:tcW w:type="dxa" w:w="5112"/>
          </w:tcPr>
          <w:p>
            <w:r>
              <w:t>NVIDIA GeForce RTX 3050 6GB Laptop GPU</w:t>
            </w:r>
          </w:p>
        </w:tc>
      </w:tr>
      <w:tr>
        <w:tc>
          <w:tcPr>
            <w:tcW w:type="dxa" w:w="5112"/>
          </w:tcPr>
          <w:p>
            <w:r>
              <w:t>Languages</w:t>
            </w:r>
          </w:p>
        </w:tc>
        <w:tc>
          <w:tcPr>
            <w:tcW w:type="dxa" w:w="5112"/>
          </w:tcPr>
          <w:p>
            <w:r>
              <w:t>Hindi, Marathi, Tamil (Telugu explicitly excluded)</w:t>
            </w:r>
          </w:p>
        </w:tc>
      </w:tr>
      <w:tr>
        <w:tc>
          <w:tcPr>
            <w:tcW w:type="dxa" w:w="5112"/>
          </w:tcPr>
          <w:p>
            <w:r>
              <w:t>Testing</w:t>
            </w:r>
          </w:p>
        </w:tc>
        <w:tc>
          <w:tcPr>
            <w:tcW w:type="dxa" w:w="5112"/>
          </w:tcPr>
          <w:p>
            <w:r>
              <w:t>pytest (84.76% coverage), Vitest + React Testing Library</w:t>
            </w:r>
          </w:p>
        </w:tc>
      </w:tr>
    </w:tbl>
    <w:p/>
    <w:p>
      <w:r>
        <w:br w:type="page"/>
      </w:r>
    </w:p>
    <w:p>
      <w:pPr>
        <w:pStyle w:val="Heading1"/>
      </w:pPr>
      <w:r>
        <w:t>5. Dataset and Corpus</w:t>
      </w:r>
    </w:p>
    <w:p>
      <w:r>
        <w:t>The operational training corpus contains 450 twelve-second clips across Hindi, Marathi, and Tamil with balanced real and fake labels, multiple accents, clean and Opus-simulated compression, and legitimate difficult examples. The corpus is generated and synthetic; it validates the software path but is not a conference research corpus.</w:t>
      </w:r>
    </w:p>
    <w:tbl>
      <w:tblPr>
        <w:tblStyle w:val="TableGrid"/>
        <w:tblW w:type="auto" w:w="0"/>
        <w:tblLook w:firstColumn="1" w:firstRow="1" w:lastColumn="0" w:lastRow="0" w:noHBand="0" w:noVBand="1" w:val="04A0"/>
      </w:tblPr>
      <w:tblGrid>
        <w:gridCol w:w="5112"/>
        <w:gridCol w:w="5112"/>
      </w:tblGrid>
      <w:tr>
        <w:tc>
          <w:tcPr>
            <w:tcW w:type="dxa" w:w="5112"/>
          </w:tcPr>
          <w:p>
            <w:r>
              <w:rPr>
                <w:b/>
              </w:rPr>
              <w:t>Statistic</w:t>
            </w:r>
          </w:p>
        </w:tc>
        <w:tc>
          <w:tcPr>
            <w:tcW w:type="dxa" w:w="5112"/>
          </w:tcPr>
          <w:p>
            <w:r>
              <w:rPr>
                <w:b/>
              </w:rPr>
              <w:t>Value</w:t>
            </w:r>
          </w:p>
        </w:tc>
      </w:tr>
      <w:tr>
        <w:tc>
          <w:tcPr>
            <w:tcW w:type="dxa" w:w="5112"/>
          </w:tcPr>
          <w:p>
            <w:r>
              <w:t>Total clips</w:t>
            </w:r>
          </w:p>
        </w:tc>
        <w:tc>
          <w:tcPr>
            <w:tcW w:type="dxa" w:w="5112"/>
          </w:tcPr>
          <w:p>
            <w:r>
              <w:t>450</w:t>
            </w:r>
          </w:p>
        </w:tc>
      </w:tr>
      <w:tr>
        <w:tc>
          <w:tcPr>
            <w:tcW w:type="dxa" w:w="5112"/>
          </w:tcPr>
          <w:p>
            <w:r>
              <w:t>Total hours</w:t>
            </w:r>
          </w:p>
        </w:tc>
        <w:tc>
          <w:tcPr>
            <w:tcW w:type="dxa" w:w="5112"/>
          </w:tcPr>
          <w:p>
            <w:r>
              <w:t>1.5</w:t>
            </w:r>
          </w:p>
        </w:tc>
      </w:tr>
      <w:tr>
        <w:tc>
          <w:tcPr>
            <w:tcW w:type="dxa" w:w="5112"/>
          </w:tcPr>
          <w:p>
            <w:r>
              <w:t>Hindi clips</w:t>
            </w:r>
          </w:p>
        </w:tc>
        <w:tc>
          <w:tcPr>
            <w:tcW w:type="dxa" w:w="5112"/>
          </w:tcPr>
          <w:p>
            <w:r>
              <w:t>150</w:t>
            </w:r>
          </w:p>
        </w:tc>
      </w:tr>
      <w:tr>
        <w:tc>
          <w:tcPr>
            <w:tcW w:type="dxa" w:w="5112"/>
          </w:tcPr>
          <w:p>
            <w:r>
              <w:t>Marathi clips</w:t>
            </w:r>
          </w:p>
        </w:tc>
        <w:tc>
          <w:tcPr>
            <w:tcW w:type="dxa" w:w="5112"/>
          </w:tcPr>
          <w:p>
            <w:r>
              <w:t>150</w:t>
            </w:r>
          </w:p>
        </w:tc>
      </w:tr>
      <w:tr>
        <w:tc>
          <w:tcPr>
            <w:tcW w:type="dxa" w:w="5112"/>
          </w:tcPr>
          <w:p>
            <w:r>
              <w:t>Tamil clips</w:t>
            </w:r>
          </w:p>
        </w:tc>
        <w:tc>
          <w:tcPr>
            <w:tcW w:type="dxa" w:w="5112"/>
          </w:tcPr>
          <w:p>
            <w:r>
              <w:t>150</w:t>
            </w:r>
          </w:p>
        </w:tc>
      </w:tr>
      <w:tr>
        <w:tc>
          <w:tcPr>
            <w:tcW w:type="dxa" w:w="5112"/>
          </w:tcPr>
          <w:p>
            <w:r>
              <w:t>Real labels</w:t>
            </w:r>
          </w:p>
        </w:tc>
        <w:tc>
          <w:tcPr>
            <w:tcW w:type="dxa" w:w="5112"/>
          </w:tcPr>
          <w:p>
            <w:r>
              <w:t>225</w:t>
            </w:r>
          </w:p>
        </w:tc>
      </w:tr>
      <w:tr>
        <w:tc>
          <w:tcPr>
            <w:tcW w:type="dxa" w:w="5112"/>
          </w:tcPr>
          <w:p>
            <w:r>
              <w:t>Fake labels</w:t>
            </w:r>
          </w:p>
        </w:tc>
        <w:tc>
          <w:tcPr>
            <w:tcW w:type="dxa" w:w="5112"/>
          </w:tcPr>
          <w:p>
            <w:r>
              <w:t>225</w:t>
            </w:r>
          </w:p>
        </w:tc>
      </w:tr>
      <w:tr>
        <w:tc>
          <w:tcPr>
            <w:tcW w:type="dxa" w:w="5112"/>
          </w:tcPr>
          <w:p>
            <w:r>
              <w:t>Training split</w:t>
            </w:r>
          </w:p>
        </w:tc>
        <w:tc>
          <w:tcPr>
            <w:tcW w:type="dxa" w:w="5112"/>
          </w:tcPr>
          <w:p>
            <w:r>
              <w:t>270</w:t>
            </w:r>
          </w:p>
        </w:tc>
      </w:tr>
      <w:tr>
        <w:tc>
          <w:tcPr>
            <w:tcW w:type="dxa" w:w="5112"/>
          </w:tcPr>
          <w:p>
            <w:r>
              <w:t>Validation split</w:t>
            </w:r>
          </w:p>
        </w:tc>
        <w:tc>
          <w:tcPr>
            <w:tcW w:type="dxa" w:w="5112"/>
          </w:tcPr>
          <w:p>
            <w:r>
              <w:t>90</w:t>
            </w:r>
          </w:p>
        </w:tc>
      </w:tr>
      <w:tr>
        <w:tc>
          <w:tcPr>
            <w:tcW w:type="dxa" w:w="5112"/>
          </w:tcPr>
          <w:p>
            <w:r>
              <w:t>Held-out test split</w:t>
            </w:r>
          </w:p>
        </w:tc>
        <w:tc>
          <w:tcPr>
            <w:tcW w:type="dxa" w:w="5112"/>
          </w:tcPr>
          <w:p>
            <w:r>
              <w:t>90</w:t>
            </w:r>
          </w:p>
        </w:tc>
      </w:tr>
      <w:tr>
        <w:tc>
          <w:tcPr>
            <w:tcW w:type="dxa" w:w="5112"/>
          </w:tcPr>
          <w:p>
            <w:r>
              <w:t>Data provenance</w:t>
            </w:r>
          </w:p>
        </w:tc>
        <w:tc>
          <w:tcPr>
            <w:tcW w:type="dxa" w:w="5112"/>
          </w:tcPr>
          <w:p>
            <w:r>
              <w:t>synthetic_demo_only</w:t>
            </w:r>
          </w:p>
        </w:tc>
      </w:tr>
    </w:tbl>
    <w:p/>
    <w:p>
      <w:r>
        <w:t>Planned research corpora include Kathbath, IndicVoices-R, Common Voice, IndicSynth, Indic Parler-TTS, and Coqui XTTS-v2 voice cloning, targeting 50–100 curated hours per language. Download is blocked until the gated dataset terms are accepted and a valid Hugging Face token is supplied.</w:t>
      </w:r>
    </w:p>
    <w:p>
      <w:r>
        <w:br w:type="page"/>
      </w:r>
    </w:p>
    <w:p>
      <w:pPr>
        <w:pStyle w:val="Heading1"/>
      </w:pPr>
      <w:r>
        <w:t>6. Model Training and Calibration</w:t>
      </w:r>
    </w:p>
    <w:p>
      <w:r>
        <w:t>The AASIST-style classifier head was trained on the synthetic demo corpus using the versioned manifest train split. Checkpoint selection used validation accuracy with EER as the tie-breaker. The test split was excluded from both training and checkpoint selection. Temperature scaling was fitted only on validation cells and evaluation metrics below use the held-out test split.</w:t>
      </w:r>
    </w:p>
    <w:tbl>
      <w:tblPr>
        <w:tblStyle w:val="TableGrid"/>
        <w:tblW w:type="auto" w:w="0"/>
        <w:tblLook w:firstColumn="1" w:firstRow="1" w:lastColumn="0" w:lastRow="0" w:noHBand="0" w:noVBand="1" w:val="04A0"/>
      </w:tblPr>
      <w:tblGrid>
        <w:gridCol w:w="5112"/>
        <w:gridCol w:w="5112"/>
      </w:tblGrid>
      <w:tr>
        <w:tc>
          <w:tcPr>
            <w:tcW w:type="dxa" w:w="5112"/>
          </w:tcPr>
          <w:p>
            <w:r>
              <w:rPr>
                <w:b/>
              </w:rPr>
              <w:t>Parameter</w:t>
            </w:r>
          </w:p>
        </w:tc>
        <w:tc>
          <w:tcPr>
            <w:tcW w:type="dxa" w:w="5112"/>
          </w:tcPr>
          <w:p>
            <w:r>
              <w:rPr>
                <w:b/>
              </w:rPr>
              <w:t>Value</w:t>
            </w:r>
          </w:p>
        </w:tc>
      </w:tr>
      <w:tr>
        <w:tc>
          <w:tcPr>
            <w:tcW w:type="dxa" w:w="5112"/>
          </w:tcPr>
          <w:p>
            <w:r>
              <w:t>Model</w:t>
            </w:r>
          </w:p>
        </w:tc>
        <w:tc>
          <w:tcPr>
            <w:tcW w:type="dxa" w:w="5112"/>
          </w:tcPr>
          <w:p>
            <w:r>
              <w:t>AASIST v1 compatible NumPy anti-spoofing demo head</w:t>
            </w:r>
          </w:p>
        </w:tc>
      </w:tr>
      <w:tr>
        <w:tc>
          <w:tcPr>
            <w:tcW w:type="dxa" w:w="5112"/>
          </w:tcPr>
          <w:p>
            <w:r>
              <w:t>Training clips</w:t>
            </w:r>
          </w:p>
        </w:tc>
        <w:tc>
          <w:tcPr>
            <w:tcW w:type="dxa" w:w="5112"/>
          </w:tcPr>
          <w:p>
            <w:r>
              <w:t>270</w:t>
            </w:r>
          </w:p>
        </w:tc>
      </w:tr>
      <w:tr>
        <w:tc>
          <w:tcPr>
            <w:tcW w:type="dxa" w:w="5112"/>
          </w:tcPr>
          <w:p>
            <w:r>
              <w:t>Validation clips</w:t>
            </w:r>
          </w:p>
        </w:tc>
        <w:tc>
          <w:tcPr>
            <w:tcW w:type="dxa" w:w="5112"/>
          </w:tcPr>
          <w:p>
            <w:r>
              <w:t>90</w:t>
            </w:r>
          </w:p>
        </w:tc>
      </w:tr>
      <w:tr>
        <w:tc>
          <w:tcPr>
            <w:tcW w:type="dxa" w:w="5112"/>
          </w:tcPr>
          <w:p>
            <w:r>
              <w:t>Held-out test clips</w:t>
            </w:r>
          </w:p>
        </w:tc>
        <w:tc>
          <w:tcPr>
            <w:tcW w:type="dxa" w:w="5112"/>
          </w:tcPr>
          <w:p>
            <w:r>
              <w:t>90</w:t>
            </w:r>
          </w:p>
        </w:tc>
      </w:tr>
      <w:tr>
        <w:tc>
          <w:tcPr>
            <w:tcW w:type="dxa" w:w="5112"/>
          </w:tcPr>
          <w:p>
            <w:r>
              <w:t>Validation accuracy</w:t>
            </w:r>
          </w:p>
        </w:tc>
        <w:tc>
          <w:tcPr>
            <w:tcW w:type="dxa" w:w="5112"/>
          </w:tcPr>
          <w:p>
            <w:r>
              <w:t>100.0%</w:t>
            </w:r>
          </w:p>
        </w:tc>
      </w:tr>
      <w:tr>
        <w:tc>
          <w:tcPr>
            <w:tcW w:type="dxa" w:w="5112"/>
          </w:tcPr>
          <w:p>
            <w:r>
              <w:t>Held-out test accuracy</w:t>
            </w:r>
          </w:p>
        </w:tc>
        <w:tc>
          <w:tcPr>
            <w:tcW w:type="dxa" w:w="5112"/>
          </w:tcPr>
          <w:p>
            <w:r>
              <w:t>97.8%</w:t>
            </w:r>
          </w:p>
        </w:tc>
      </w:tr>
      <w:tr>
        <w:tc>
          <w:tcPr>
            <w:tcW w:type="dxa" w:w="5112"/>
          </w:tcPr>
          <w:p>
            <w:r>
              <w:t>Held-out test EER</w:t>
            </w:r>
          </w:p>
        </w:tc>
        <w:tc>
          <w:tcPr>
            <w:tcW w:type="dxa" w:w="5112"/>
          </w:tcPr>
          <w:p>
            <w:r>
              <w:t>2.2%</w:t>
            </w:r>
          </w:p>
        </w:tc>
      </w:tr>
      <w:tr>
        <w:tc>
          <w:tcPr>
            <w:tcW w:type="dxa" w:w="5112"/>
          </w:tcPr>
          <w:p>
            <w:r>
              <w:t>Held-out test ROC-AUC</w:t>
            </w:r>
          </w:p>
        </w:tc>
        <w:tc>
          <w:tcPr>
            <w:tcW w:type="dxa" w:w="5112"/>
          </w:tcPr>
          <w:p>
            <w:r>
              <w:t>0.999</w:t>
            </w:r>
          </w:p>
        </w:tc>
      </w:tr>
      <w:tr>
        <w:tc>
          <w:tcPr>
            <w:tcW w:type="dxa" w:w="5112"/>
          </w:tcPr>
          <w:p>
            <w:r>
              <w:t>Held-out test ECE</w:t>
            </w:r>
          </w:p>
        </w:tc>
        <w:tc>
          <w:tcPr>
            <w:tcW w:type="dxa" w:w="5112"/>
          </w:tcPr>
          <w:p>
            <w:r>
              <w:t>0.262</w:t>
            </w:r>
          </w:p>
        </w:tc>
      </w:tr>
      <w:tr>
        <w:tc>
          <w:tcPr>
            <w:tcW w:type="dxa" w:w="5112"/>
          </w:tcPr>
          <w:p>
            <w:r>
              <w:t>Held-out test Brier</w:t>
            </w:r>
          </w:p>
        </w:tc>
        <w:tc>
          <w:tcPr>
            <w:tcW w:type="dxa" w:w="5112"/>
          </w:tcPr>
          <w:p>
            <w:r>
              <w:t>0.095</w:t>
            </w:r>
          </w:p>
        </w:tc>
      </w:tr>
      <w:tr>
        <w:tc>
          <w:tcPr>
            <w:tcW w:type="dxa" w:w="5112"/>
          </w:tcPr>
          <w:p>
            <w:r>
              <w:t>Pipeline status</w:t>
            </w:r>
          </w:p>
        </w:tc>
        <w:tc>
          <w:tcPr>
            <w:tcW w:type="dxa" w:w="5112"/>
          </w:tcPr>
          <w:p>
            <w:r>
              <w:t>trained_calibrated</w:t>
            </w:r>
          </w:p>
        </w:tc>
      </w:tr>
    </w:tbl>
    <w:p/>
    <w:p>
      <w:pPr>
        <w:pStyle w:val="Heading2"/>
      </w:pPr>
      <w:r>
        <w:t>Temperature Scaling Table</w:t>
      </w:r>
    </w:p>
    <w:tbl>
      <w:tblPr>
        <w:tblStyle w:val="TableGrid"/>
        <w:tblW w:type="auto" w:w="0"/>
        <w:tblLook w:firstColumn="1" w:firstRow="1" w:lastColumn="0" w:lastRow="0" w:noHBand="0" w:noVBand="1" w:val="04A0"/>
      </w:tblPr>
      <w:tblGrid>
        <w:gridCol w:w="5112"/>
        <w:gridCol w:w="5112"/>
      </w:tblGrid>
      <w:tr>
        <w:tc>
          <w:tcPr>
            <w:tcW w:type="dxa" w:w="5112"/>
          </w:tcPr>
          <w:p>
            <w:r>
              <w:rPr>
                <w:b/>
              </w:rPr>
              <w:t>Language / Condition</w:t>
            </w:r>
          </w:p>
        </w:tc>
        <w:tc>
          <w:tcPr>
            <w:tcW w:type="dxa" w:w="5112"/>
          </w:tcPr>
          <w:p>
            <w:r>
              <w:rPr>
                <w:b/>
              </w:rPr>
              <w:t>Temperature T</w:t>
            </w:r>
          </w:p>
        </w:tc>
      </w:tr>
      <w:tr>
        <w:tc>
          <w:tcPr>
            <w:tcW w:type="dxa" w:w="5112"/>
          </w:tcPr>
          <w:p>
            <w:r>
              <w:t>hi / clean</w:t>
            </w:r>
          </w:p>
        </w:tc>
        <w:tc>
          <w:tcPr>
            <w:tcW w:type="dxa" w:w="5112"/>
          </w:tcPr>
          <w:p>
            <w:r>
              <w:t>0.500</w:t>
            </w:r>
          </w:p>
        </w:tc>
      </w:tr>
      <w:tr>
        <w:tc>
          <w:tcPr>
            <w:tcW w:type="dxa" w:w="5112"/>
          </w:tcPr>
          <w:p>
            <w:r>
              <w:t>hi / opus_whatsapp_sim</w:t>
            </w:r>
          </w:p>
        </w:tc>
        <w:tc>
          <w:tcPr>
            <w:tcW w:type="dxa" w:w="5112"/>
          </w:tcPr>
          <w:p>
            <w:r>
              <w:t>0.500</w:t>
            </w:r>
          </w:p>
        </w:tc>
      </w:tr>
      <w:tr>
        <w:tc>
          <w:tcPr>
            <w:tcW w:type="dxa" w:w="5112"/>
          </w:tcPr>
          <w:p>
            <w:r>
              <w:t>mr / clean</w:t>
            </w:r>
          </w:p>
        </w:tc>
        <w:tc>
          <w:tcPr>
            <w:tcW w:type="dxa" w:w="5112"/>
          </w:tcPr>
          <w:p>
            <w:r>
              <w:t>0.500</w:t>
            </w:r>
          </w:p>
        </w:tc>
      </w:tr>
      <w:tr>
        <w:tc>
          <w:tcPr>
            <w:tcW w:type="dxa" w:w="5112"/>
          </w:tcPr>
          <w:p>
            <w:r>
              <w:t>mr / opus_whatsapp_sim</w:t>
            </w:r>
          </w:p>
        </w:tc>
        <w:tc>
          <w:tcPr>
            <w:tcW w:type="dxa" w:w="5112"/>
          </w:tcPr>
          <w:p>
            <w:r>
              <w:t>0.500</w:t>
            </w:r>
          </w:p>
        </w:tc>
      </w:tr>
      <w:tr>
        <w:tc>
          <w:tcPr>
            <w:tcW w:type="dxa" w:w="5112"/>
          </w:tcPr>
          <w:p>
            <w:r>
              <w:t>ta / clean</w:t>
            </w:r>
          </w:p>
        </w:tc>
        <w:tc>
          <w:tcPr>
            <w:tcW w:type="dxa" w:w="5112"/>
          </w:tcPr>
          <w:p>
            <w:r>
              <w:t>0.500</w:t>
            </w:r>
          </w:p>
        </w:tc>
      </w:tr>
      <w:tr>
        <w:tc>
          <w:tcPr>
            <w:tcW w:type="dxa" w:w="5112"/>
          </w:tcPr>
          <w:p>
            <w:r>
              <w:t>ta / opus_whatsapp_sim</w:t>
            </w:r>
          </w:p>
        </w:tc>
        <w:tc>
          <w:tcPr>
            <w:tcW w:type="dxa" w:w="5112"/>
          </w:tcPr>
          <w:p>
            <w:r>
              <w:t>0.500</w:t>
            </w:r>
          </w:p>
        </w:tc>
      </w:tr>
    </w:tbl>
    <w:p/>
    <w:p>
      <w:r>
        <w:br w:type="page"/>
      </w:r>
    </w:p>
    <w:p>
      <w:pPr>
        <w:pStyle w:val="Heading1"/>
      </w:pPr>
      <w:r>
        <w:t>7. Metrics and Evaluation</w:t>
      </w:r>
    </w:p>
    <w:p>
      <w:r>
        <w:t>VaaniQ evaluates detection using Equal Error Rate (EER), minimum Detection Cost Function (min-DCF), accuracy, precision, recall, F1, and ROC-AUC. Calibration uses Expected Calibration Error (ECE), Brier score, reliability diagrams, and coverage-accuracy curves.</w:t>
      </w:r>
    </w:p>
    <w:tbl>
      <w:tblPr>
        <w:tblStyle w:val="TableGrid"/>
        <w:tblW w:type="auto" w:w="0"/>
        <w:tblLook w:firstColumn="1" w:firstRow="1" w:lastColumn="0" w:lastRow="0" w:noHBand="0" w:noVBand="1" w:val="04A0"/>
      </w:tblPr>
      <w:tblGrid>
        <w:gridCol w:w="5112"/>
        <w:gridCol w:w="5112"/>
      </w:tblGrid>
      <w:tr>
        <w:tc>
          <w:tcPr>
            <w:tcW w:type="dxa" w:w="5112"/>
          </w:tcPr>
          <w:p>
            <w:r>
              <w:rPr>
                <w:b/>
              </w:rPr>
              <w:t>Metric</w:t>
            </w:r>
          </w:p>
        </w:tc>
        <w:tc>
          <w:tcPr>
            <w:tcW w:type="dxa" w:w="5112"/>
          </w:tcPr>
          <w:p>
            <w:r>
              <w:rPr>
                <w:b/>
              </w:rPr>
              <w:t>Value</w:t>
            </w:r>
          </w:p>
        </w:tc>
      </w:tr>
      <w:tr>
        <w:tc>
          <w:tcPr>
            <w:tcW w:type="dxa" w:w="5112"/>
          </w:tcPr>
          <w:p>
            <w:r>
              <w:t>EER (held-out test)</w:t>
            </w:r>
          </w:p>
        </w:tc>
        <w:tc>
          <w:tcPr>
            <w:tcW w:type="dxa" w:w="5112"/>
          </w:tcPr>
          <w:p>
            <w:r>
              <w:t>2.2%</w:t>
            </w:r>
          </w:p>
        </w:tc>
      </w:tr>
      <w:tr>
        <w:tc>
          <w:tcPr>
            <w:tcW w:type="dxa" w:w="5112"/>
          </w:tcPr>
          <w:p>
            <w:r>
              <w:t>min-DCF</w:t>
            </w:r>
          </w:p>
        </w:tc>
        <w:tc>
          <w:tcPr>
            <w:tcW w:type="dxa" w:w="5112"/>
          </w:tcPr>
          <w:p>
            <w:r>
              <w:t>0.044</w:t>
            </w:r>
          </w:p>
        </w:tc>
      </w:tr>
      <w:tr>
        <w:tc>
          <w:tcPr>
            <w:tcW w:type="dxa" w:w="5112"/>
          </w:tcPr>
          <w:p>
            <w:r>
              <w:t>Accuracy</w:t>
            </w:r>
          </w:p>
        </w:tc>
        <w:tc>
          <w:tcPr>
            <w:tcW w:type="dxa" w:w="5112"/>
          </w:tcPr>
          <w:p>
            <w:r>
              <w:t>97.8%</w:t>
            </w:r>
          </w:p>
        </w:tc>
      </w:tr>
      <w:tr>
        <w:tc>
          <w:tcPr>
            <w:tcW w:type="dxa" w:w="5112"/>
          </w:tcPr>
          <w:p>
            <w:r>
              <w:t>Precision</w:t>
            </w:r>
          </w:p>
        </w:tc>
        <w:tc>
          <w:tcPr>
            <w:tcW w:type="dxa" w:w="5112"/>
          </w:tcPr>
          <w:p>
            <w:r>
              <w:t>97.8%</w:t>
            </w:r>
          </w:p>
        </w:tc>
      </w:tr>
      <w:tr>
        <w:tc>
          <w:tcPr>
            <w:tcW w:type="dxa" w:w="5112"/>
          </w:tcPr>
          <w:p>
            <w:r>
              <w:t>Recall</w:t>
            </w:r>
          </w:p>
        </w:tc>
        <w:tc>
          <w:tcPr>
            <w:tcW w:type="dxa" w:w="5112"/>
          </w:tcPr>
          <w:p>
            <w:r>
              <w:t>97.8%</w:t>
            </w:r>
          </w:p>
        </w:tc>
      </w:tr>
      <w:tr>
        <w:tc>
          <w:tcPr>
            <w:tcW w:type="dxa" w:w="5112"/>
          </w:tcPr>
          <w:p>
            <w:r>
              <w:t>F1 score</w:t>
            </w:r>
          </w:p>
        </w:tc>
        <w:tc>
          <w:tcPr>
            <w:tcW w:type="dxa" w:w="5112"/>
          </w:tcPr>
          <w:p>
            <w:r>
              <w:t>97.8%</w:t>
            </w:r>
          </w:p>
        </w:tc>
      </w:tr>
      <w:tr>
        <w:tc>
          <w:tcPr>
            <w:tcW w:type="dxa" w:w="5112"/>
          </w:tcPr>
          <w:p>
            <w:r>
              <w:t>ECE</w:t>
            </w:r>
          </w:p>
        </w:tc>
        <w:tc>
          <w:tcPr>
            <w:tcW w:type="dxa" w:w="5112"/>
          </w:tcPr>
          <w:p>
            <w:r>
              <w:t>0.262</w:t>
            </w:r>
          </w:p>
        </w:tc>
      </w:tr>
      <w:tr>
        <w:tc>
          <w:tcPr>
            <w:tcW w:type="dxa" w:w="5112"/>
          </w:tcPr>
          <w:p>
            <w:r>
              <w:t>Brier score</w:t>
            </w:r>
          </w:p>
        </w:tc>
        <w:tc>
          <w:tcPr>
            <w:tcW w:type="dxa" w:w="5112"/>
          </w:tcPr>
          <w:p>
            <w:r>
              <w:t>0.095</w:t>
            </w:r>
          </w:p>
        </w:tc>
      </w:tr>
    </w:tbl>
    <w:p/>
    <w:p>
      <w:r>
        <w:t>The tables and figures below are generated from persisted held-out test metrics. The test set contains 90 synthetic clips (30 per language). Overall accuracy is 97.8%, with a 95% bootstrap interval for EER of 0.0% to 5.9%. These results validate the demo pipeline only and must not be described as curated-corpus conference results.</w:t>
      </w:r>
    </w:p>
    <w:p>
      <w:pPr>
        <w:pStyle w:val="Heading2"/>
      </w:pPr>
      <w:r>
        <w:t>Verified Test-Set Figures</w:t>
      </w:r>
    </w:p>
    <w:p>
      <w:pPr>
        <w:pStyle w:val="IntenseQuote"/>
      </w:pPr>
      <w:r>
        <w:t>Overall test metrics</w:t>
      </w:r>
    </w:p>
    <w:p>
      <w:r>
        <w:drawing>
          <wp:inline xmlns:a="http://schemas.openxmlformats.org/drawingml/2006/main" xmlns:pic="http://schemas.openxmlformats.org/drawingml/2006/picture">
            <wp:extent cx="5669280" cy="3275584"/>
            <wp:docPr id="3" name="Picture 3"/>
            <wp:cNvGraphicFramePr>
              <a:graphicFrameLocks noChangeAspect="1"/>
            </wp:cNvGraphicFramePr>
            <a:graphic>
              <a:graphicData uri="http://schemas.openxmlformats.org/drawingml/2006/picture">
                <pic:pic>
                  <pic:nvPicPr>
                    <pic:cNvPr id="0" name="performance_overview.png"/>
                    <pic:cNvPicPr/>
                  </pic:nvPicPr>
                  <pic:blipFill>
                    <a:blip r:embed="rId11"/>
                    <a:stretch>
                      <a:fillRect/>
                    </a:stretch>
                  </pic:blipFill>
                  <pic:spPr>
                    <a:xfrm>
                      <a:off x="0" y="0"/>
                      <a:ext cx="5669280" cy="3275584"/>
                    </a:xfrm>
                    <a:prstGeom prst="rect"/>
                  </pic:spPr>
                </pic:pic>
              </a:graphicData>
            </a:graphic>
          </wp:inline>
        </w:drawing>
      </w:r>
    </w:p>
    <w:p/>
    <w:p>
      <w:pPr>
        <w:pStyle w:val="IntenseQuote"/>
      </w:pPr>
      <w:r>
        <w:t>Per-language accuracy and F1</w:t>
      </w:r>
    </w:p>
    <w:p>
      <w:r>
        <w:drawing>
          <wp:inline xmlns:a="http://schemas.openxmlformats.org/drawingml/2006/main" xmlns:pic="http://schemas.openxmlformats.org/drawingml/2006/picture">
            <wp:extent cx="5669280" cy="3275584"/>
            <wp:docPr id="4" name="Picture 4"/>
            <wp:cNvGraphicFramePr>
              <a:graphicFrameLocks noChangeAspect="1"/>
            </wp:cNvGraphicFramePr>
            <a:graphic>
              <a:graphicData uri="http://schemas.openxmlformats.org/drawingml/2006/picture">
                <pic:pic>
                  <pic:nvPicPr>
                    <pic:cNvPr id="0" name="language_breakdown.png"/>
                    <pic:cNvPicPr/>
                  </pic:nvPicPr>
                  <pic:blipFill>
                    <a:blip r:embed="rId12"/>
                    <a:stretch>
                      <a:fillRect/>
                    </a:stretch>
                  </pic:blipFill>
                  <pic:spPr>
                    <a:xfrm>
                      <a:off x="0" y="0"/>
                      <a:ext cx="5669280" cy="3275584"/>
                    </a:xfrm>
                    <a:prstGeom prst="rect"/>
                  </pic:spPr>
                </pic:pic>
              </a:graphicData>
            </a:graphic>
          </wp:inline>
        </w:drawing>
      </w:r>
    </w:p>
    <w:p/>
    <w:p>
      <w:pPr>
        <w:pStyle w:val="IntenseQuote"/>
      </w:pPr>
      <w:r>
        <w:t>Clean versus Opus-simulation performance</w:t>
      </w:r>
    </w:p>
    <w:p>
      <w:r>
        <w:drawing>
          <wp:inline xmlns:a="http://schemas.openxmlformats.org/drawingml/2006/main" xmlns:pic="http://schemas.openxmlformats.org/drawingml/2006/picture">
            <wp:extent cx="5669280" cy="3468265"/>
            <wp:docPr id="5" name="Picture 5"/>
            <wp:cNvGraphicFramePr>
              <a:graphicFrameLocks noChangeAspect="1"/>
            </wp:cNvGraphicFramePr>
            <a:graphic>
              <a:graphicData uri="http://schemas.openxmlformats.org/drawingml/2006/picture">
                <pic:pic>
                  <pic:nvPicPr>
                    <pic:cNvPr id="0" name="condition_breakdown.png"/>
                    <pic:cNvPicPr/>
                  </pic:nvPicPr>
                  <pic:blipFill>
                    <a:blip r:embed="rId13"/>
                    <a:stretch>
                      <a:fillRect/>
                    </a:stretch>
                  </pic:blipFill>
                  <pic:spPr>
                    <a:xfrm>
                      <a:off x="0" y="0"/>
                      <a:ext cx="5669280" cy="3468265"/>
                    </a:xfrm>
                    <a:prstGeom prst="rect"/>
                  </pic:spPr>
                </pic:pic>
              </a:graphicData>
            </a:graphic>
          </wp:inline>
        </w:drawing>
      </w:r>
    </w:p>
    <w:p/>
    <w:p>
      <w:pPr>
        <w:pStyle w:val="IntenseQuote"/>
      </w:pPr>
      <w:r>
        <w:t>Test-set confusion matrix</w:t>
      </w:r>
    </w:p>
    <w:p>
      <w:r>
        <w:drawing>
          <wp:inline xmlns:a="http://schemas.openxmlformats.org/drawingml/2006/main" xmlns:pic="http://schemas.openxmlformats.org/drawingml/2006/picture">
            <wp:extent cx="5669280" cy="4797083"/>
            <wp:docPr id="6" name="Picture 6"/>
            <wp:cNvGraphicFramePr>
              <a:graphicFrameLocks noChangeAspect="1"/>
            </wp:cNvGraphicFramePr>
            <a:graphic>
              <a:graphicData uri="http://schemas.openxmlformats.org/drawingml/2006/picture">
                <pic:pic>
                  <pic:nvPicPr>
                    <pic:cNvPr id="0" name="confusion_matrix.png"/>
                    <pic:cNvPicPr/>
                  </pic:nvPicPr>
                  <pic:blipFill>
                    <a:blip r:embed="rId14"/>
                    <a:stretch>
                      <a:fillRect/>
                    </a:stretch>
                  </pic:blipFill>
                  <pic:spPr>
                    <a:xfrm>
                      <a:off x="0" y="0"/>
                      <a:ext cx="5669280" cy="4797083"/>
                    </a:xfrm>
                    <a:prstGeom prst="rect"/>
                  </pic:spPr>
                </pic:pic>
              </a:graphicData>
            </a:graphic>
          </wp:inline>
        </w:drawing>
      </w:r>
    </w:p>
    <w:p/>
    <w:p>
      <w:pPr>
        <w:pStyle w:val="IntenseQuote"/>
      </w:pPr>
      <w:r>
        <w:t>ECE and Brier calibration errors</w:t>
      </w:r>
    </w:p>
    <w:p>
      <w:r>
        <w:drawing>
          <wp:inline xmlns:a="http://schemas.openxmlformats.org/drawingml/2006/main" xmlns:pic="http://schemas.openxmlformats.org/drawingml/2006/picture">
            <wp:extent cx="5669280" cy="3201475"/>
            <wp:docPr id="7" name="Picture 7"/>
            <wp:cNvGraphicFramePr>
              <a:graphicFrameLocks noChangeAspect="1"/>
            </wp:cNvGraphicFramePr>
            <a:graphic>
              <a:graphicData uri="http://schemas.openxmlformats.org/drawingml/2006/picture">
                <pic:pic>
                  <pic:nvPicPr>
                    <pic:cNvPr id="0" name="calibration_errors.png"/>
                    <pic:cNvPicPr/>
                  </pic:nvPicPr>
                  <pic:blipFill>
                    <a:blip r:embed="rId15"/>
                    <a:stretch>
                      <a:fillRect/>
                    </a:stretch>
                  </pic:blipFill>
                  <pic:spPr>
                    <a:xfrm>
                      <a:off x="0" y="0"/>
                      <a:ext cx="5669280" cy="3201475"/>
                    </a:xfrm>
                    <a:prstGeom prst="rect"/>
                  </pic:spPr>
                </pic:pic>
              </a:graphicData>
            </a:graphic>
          </wp:inline>
        </w:drawing>
      </w:r>
    </w:p>
    <w:p/>
    <w:p>
      <w:pPr>
        <w:pStyle w:val="Heading2"/>
      </w:pPr>
      <w:r>
        <w:t>Unrun Conference Experiments</w:t>
      </w:r>
    </w:p>
    <w:tbl>
      <w:tblPr>
        <w:tblStyle w:val="TableGrid"/>
        <w:tblW w:type="auto" w:w="0"/>
        <w:tblLook w:firstColumn="1" w:firstRow="1" w:lastColumn="0" w:lastRow="0" w:noHBand="0" w:noVBand="1" w:val="04A0"/>
      </w:tblPr>
      <w:tblGrid>
        <w:gridCol w:w="3408"/>
        <w:gridCol w:w="3408"/>
        <w:gridCol w:w="3408"/>
      </w:tblGrid>
      <w:tr>
        <w:tc>
          <w:tcPr>
            <w:tcW w:type="dxa" w:w="3408"/>
          </w:tcPr>
          <w:p>
            <w:r>
              <w:rPr>
                <w:b/>
              </w:rPr>
              <w:t>Research question</w:t>
            </w:r>
          </w:p>
        </w:tc>
        <w:tc>
          <w:tcPr>
            <w:tcW w:type="dxa" w:w="3408"/>
          </w:tcPr>
          <w:p>
            <w:r>
              <w:rPr>
                <w:b/>
              </w:rPr>
              <w:t>Required publication result</w:t>
            </w:r>
          </w:p>
        </w:tc>
        <w:tc>
          <w:tcPr>
            <w:tcW w:type="dxa" w:w="3408"/>
          </w:tcPr>
          <w:p>
            <w:r>
              <w:rPr>
                <w:b/>
              </w:rPr>
              <w:t>Current status</w:t>
            </w:r>
          </w:p>
        </w:tc>
      </w:tr>
      <w:tr>
        <w:tc>
          <w:tcPr>
            <w:tcW w:type="dxa" w:w="3408"/>
          </w:tcPr>
          <w:p>
            <w:r>
              <w:t>RQ1</w:t>
            </w:r>
          </w:p>
        </w:tc>
        <w:tc>
          <w:tcPr>
            <w:tcW w:type="dxa" w:w="3408"/>
          </w:tcPr>
          <w:p>
            <w:r>
              <w:t>Paired clean/real-Opus evaluation on curated audio</w:t>
            </w:r>
          </w:p>
        </w:tc>
        <w:tc>
          <w:tcPr>
            <w:tcW w:type="dxa" w:w="3408"/>
          </w:tcPr>
          <w:p>
            <w:r>
              <w:t>PENDING</w:t>
            </w:r>
          </w:p>
        </w:tc>
      </w:tr>
      <w:tr>
        <w:tc>
          <w:tcPr>
            <w:tcW w:type="dxa" w:w="3408"/>
          </w:tcPr>
          <w:p>
            <w:r>
              <w:t>RQ2</w:t>
            </w:r>
          </w:p>
        </w:tc>
        <w:tc>
          <w:tcPr>
            <w:tcW w:type="dxa" w:w="3408"/>
          </w:tcPr>
          <w:p>
            <w:r>
              <w:t>Multilingual versus English-only trained baseline</w:t>
            </w:r>
          </w:p>
        </w:tc>
        <w:tc>
          <w:tcPr>
            <w:tcW w:type="dxa" w:w="3408"/>
          </w:tcPr>
          <w:p>
            <w:r>
              <w:t>PENDING</w:t>
            </w:r>
          </w:p>
        </w:tc>
      </w:tr>
      <w:tr>
        <w:tc>
          <w:tcPr>
            <w:tcW w:type="dxa" w:w="3408"/>
          </w:tcPr>
          <w:p>
            <w:r>
              <w:t>RQ3</w:t>
            </w:r>
          </w:p>
        </w:tc>
        <w:tc>
          <w:tcPr>
            <w:tcW w:type="dxa" w:w="3408"/>
          </w:tcPr>
          <w:p>
            <w:r>
              <w:t>Three leave-one-language-out training runs</w:t>
            </w:r>
          </w:p>
        </w:tc>
        <w:tc>
          <w:tcPr>
            <w:tcW w:type="dxa" w:w="3408"/>
          </w:tcPr>
          <w:p>
            <w:r>
              <w:t>PENDING</w:t>
            </w:r>
          </w:p>
        </w:tc>
      </w:tr>
      <w:tr>
        <w:tc>
          <w:tcPr>
            <w:tcW w:type="dxa" w:w="3408"/>
          </w:tcPr>
          <w:p>
            <w:r>
              <w:t>RQ4</w:t>
            </w:r>
          </w:p>
        </w:tc>
        <w:tc>
          <w:tcPr>
            <w:tcW w:type="dxa" w:w="3408"/>
          </w:tcPr>
          <w:p>
            <w:r>
              <w:t>Pre/post calibration per real language-condition cell</w:t>
            </w:r>
          </w:p>
        </w:tc>
        <w:tc>
          <w:tcPr>
            <w:tcW w:type="dxa" w:w="3408"/>
          </w:tcPr>
          <w:p>
            <w:r>
              <w:t>PENDING</w:t>
            </w:r>
          </w:p>
        </w:tc>
      </w:tr>
      <w:tr>
        <w:tc>
          <w:tcPr>
            <w:tcW w:type="dxa" w:w="3408"/>
          </w:tcPr>
          <w:p>
            <w:r>
              <w:t>RQ5</w:t>
            </w:r>
          </w:p>
        </w:tc>
        <w:tc>
          <w:tcPr>
            <w:tcW w:type="dxa" w:w="3408"/>
          </w:tcPr>
          <w:p>
            <w:r>
              <w:t>Human versus model on identical clips, N≥12</w:t>
            </w:r>
          </w:p>
        </w:tc>
        <w:tc>
          <w:tcPr>
            <w:tcW w:type="dxa" w:w="3408"/>
          </w:tcPr>
          <w:p>
            <w:r>
              <w:t>PENDING</w:t>
            </w:r>
          </w:p>
        </w:tc>
      </w:tr>
    </w:tbl>
    <w:p/>
    <w:p>
      <w:r>
        <w:br w:type="page"/>
      </w:r>
    </w:p>
    <w:p>
      <w:pPr>
        <w:pStyle w:val="Heading1"/>
      </w:pPr>
      <w:r>
        <w:t>8. Explainability Suite</w:t>
      </w:r>
    </w:p>
    <w:p>
      <w:r>
        <w:t>Five explainability methods are implemented and exposed through the API and UI:</w:t>
      </w:r>
    </w:p>
    <w:p>
      <w:pPr>
        <w:pStyle w:val="ListBullet"/>
      </w:pPr>
      <w:r>
        <w:t>Grad-CAM temporal attention heatmap on spectrogram input</w:t>
      </w:r>
    </w:p>
    <w:p>
      <w:pPr>
        <w:pStyle w:val="ListBullet"/>
      </w:pPr>
      <w:r>
        <w:t>Attention map visualisation</w:t>
      </w:r>
    </w:p>
    <w:p>
      <w:pPr>
        <w:pStyle w:val="ListBullet"/>
      </w:pPr>
      <w:r>
        <w:t>Frequency-band importance (mask bands, measure score change)</w:t>
      </w:r>
    </w:p>
    <w:p>
      <w:pPr>
        <w:pStyle w:val="ListBullet"/>
      </w:pPr>
      <w:r>
        <w:t>Spectrogram side-by-side comparison</w:t>
      </w:r>
    </w:p>
    <w:p>
      <w:pPr>
        <w:pStyle w:val="ListBullet"/>
      </w:pPr>
      <w:r>
        <w:t>Compression-artifact visualisation (spectral energy loss from Opus)</w:t>
      </w:r>
    </w:p>
    <w:p>
      <w:r>
        <w:br w:type="page"/>
      </w:r>
    </w:p>
    <w:p>
      <w:pPr>
        <w:pStyle w:val="Heading1"/>
      </w:pPr>
      <w:r>
        <w:t>9. Human Perception Study (RQ5)</w:t>
      </w:r>
    </w:p>
    <w:p>
      <w:r>
        <w:t>A bounded listening-test protocol is implemented in the web application. Volunteers hear clips from the same stimulus set used by the model, make forced-choice real/fake judgements, and rate confidence on a 1–5 scale. Gold labels remain hidden during trials.</w:t>
      </w:r>
    </w:p>
    <w:p>
      <w:r>
        <w:t>Target: 20–30 participants; minimum floor 12–15 for analysis.</w:t>
      </w:r>
    </w:p>
    <w:p>
      <w:r>
        <w:br w:type="page"/>
      </w:r>
    </w:p>
    <w:p>
      <w:pPr>
        <w:pStyle w:val="Heading1"/>
      </w:pPr>
      <w:r>
        <w:t>10. Validation and Testing</w:t>
      </w:r>
    </w:p>
    <w:tbl>
      <w:tblPr>
        <w:tblStyle w:val="TableGrid"/>
        <w:tblW w:type="auto" w:w="0"/>
        <w:tblLook w:firstColumn="1" w:firstRow="1" w:lastColumn="0" w:lastRow="0" w:noHBand="0" w:noVBand="1" w:val="04A0"/>
      </w:tblPr>
      <w:tblGrid>
        <w:gridCol w:w="5112"/>
        <w:gridCol w:w="5112"/>
      </w:tblGrid>
      <w:tr>
        <w:tc>
          <w:tcPr>
            <w:tcW w:type="dxa" w:w="5112"/>
          </w:tcPr>
          <w:p>
            <w:r>
              <w:rPr>
                <w:b/>
              </w:rPr>
              <w:t>Test</w:t>
            </w:r>
          </w:p>
        </w:tc>
        <w:tc>
          <w:tcPr>
            <w:tcW w:type="dxa" w:w="5112"/>
          </w:tcPr>
          <w:p>
            <w:r>
              <w:rPr>
                <w:b/>
              </w:rPr>
              <w:t>Result</w:t>
            </w:r>
          </w:p>
        </w:tc>
      </w:tr>
      <w:tr>
        <w:tc>
          <w:tcPr>
            <w:tcW w:type="dxa" w:w="5112"/>
          </w:tcPr>
          <w:p>
            <w:r>
              <w:t>Backend unit and integration tests</w:t>
            </w:r>
          </w:p>
        </w:tc>
        <w:tc>
          <w:tcPr>
            <w:tcW w:type="dxa" w:w="5112"/>
          </w:tcPr>
          <w:p>
            <w:r>
              <w:t>172 passed, 3 skipped</w:t>
            </w:r>
          </w:p>
        </w:tc>
      </w:tr>
      <w:tr>
        <w:tc>
          <w:tcPr>
            <w:tcW w:type="dxa" w:w="5112"/>
          </w:tcPr>
          <w:p>
            <w:r>
              <w:t>Code coverage</w:t>
            </w:r>
          </w:p>
        </w:tc>
        <w:tc>
          <w:tcPr>
            <w:tcW w:type="dxa" w:w="5112"/>
          </w:tcPr>
          <w:p>
            <w:r>
              <w:t>84.76% (gate ≥80%)</w:t>
            </w:r>
          </w:p>
        </w:tc>
      </w:tr>
      <w:tr>
        <w:tc>
          <w:tcPr>
            <w:tcW w:type="dxa" w:w="5112"/>
          </w:tcPr>
          <w:p>
            <w:r>
              <w:t>Frontend tests</w:t>
            </w:r>
          </w:p>
        </w:tc>
        <w:tc>
          <w:tcPr>
            <w:tcW w:type="dxa" w:w="5112"/>
          </w:tcPr>
          <w:p>
            <w:r>
              <w:t>22 of 22 passed</w:t>
            </w:r>
          </w:p>
        </w:tc>
      </w:tr>
      <w:tr>
        <w:tc>
          <w:tcPr>
            <w:tcW w:type="dxa" w:w="5112"/>
          </w:tcPr>
          <w:p>
            <w:r>
              <w:t>OpenAPI contract drift</w:t>
            </w:r>
          </w:p>
        </w:tc>
        <w:tc>
          <w:tcPr>
            <w:tcW w:type="dxa" w:w="5112"/>
          </w:tcPr>
          <w:p>
            <w:r>
              <w:t>Regenerated and passing</w:t>
            </w:r>
          </w:p>
        </w:tc>
      </w:tr>
      <w:tr>
        <w:tc>
          <w:tcPr>
            <w:tcW w:type="dxa" w:w="5112"/>
          </w:tcPr>
          <w:p>
            <w:r>
              <w:t>Live inference — real clip</w:t>
            </w:r>
          </w:p>
        </w:tc>
        <w:tc>
          <w:tcPr>
            <w:tcW w:type="dxa" w:w="5112"/>
          </w:tcPr>
          <w:p>
            <w:r>
              <w:t>Label: real — PASS</w:t>
            </w:r>
          </w:p>
        </w:tc>
      </w:tr>
      <w:tr>
        <w:tc>
          <w:tcPr>
            <w:tcW w:type="dxa" w:w="5112"/>
          </w:tcPr>
          <w:p>
            <w:r>
              <w:t>Live inference — fake clip</w:t>
            </w:r>
          </w:p>
        </w:tc>
        <w:tc>
          <w:tcPr>
            <w:tcW w:type="dxa" w:w="5112"/>
          </w:tcPr>
          <w:p>
            <w:r>
              <w:t>Label: fake — PASS</w:t>
            </w:r>
          </w:p>
        </w:tc>
      </w:tr>
      <w:tr>
        <w:tc>
          <w:tcPr>
            <w:tcW w:type="dxa" w:w="5112"/>
          </w:tcPr>
          <w:p>
            <w:r>
              <w:t>API health</w:t>
            </w:r>
          </w:p>
        </w:tc>
        <w:tc>
          <w:tcPr>
            <w:tcW w:type="dxa" w:w="5112"/>
          </w:tcPr>
          <w:p>
            <w:r>
              <w:t>OK</w:t>
            </w:r>
          </w:p>
        </w:tc>
      </w:tr>
      <w:tr>
        <w:tc>
          <w:tcPr>
            <w:tcW w:type="dxa" w:w="5112"/>
          </w:tcPr>
          <w:p>
            <w:r>
              <w:t>Live mic false-positive fix</w:t>
            </w:r>
          </w:p>
        </w:tc>
        <w:tc>
          <w:tcPr>
            <w:tcW w:type="dxa" w:w="5112"/>
          </w:tcPr>
          <w:p>
            <w:r>
              <w:t>Verified — natural speech reads as REAL</w:t>
            </w:r>
          </w:p>
        </w:tc>
      </w:tr>
    </w:tbl>
    <w:p/>
    <w:p>
      <w:pPr>
        <w:pStyle w:val="Heading2"/>
      </w:pPr>
      <w:r>
        <w:t>Security and Validation Controls</w:t>
      </w:r>
    </w:p>
    <w:p>
      <w:pPr>
        <w:pStyle w:val="ListBullet"/>
      </w:pPr>
      <w:r>
        <w:t>Upload MIME type, magic bytes, file size, and duration are validated before inference.</w:t>
      </w:r>
    </w:p>
    <w:p>
      <w:pPr>
        <w:pStyle w:val="ListBullet"/>
      </w:pPr>
      <w:r>
        <w:t>CORS origins are configuration-driven; wildcard origins are not used outside local development.</w:t>
      </w:r>
    </w:p>
    <w:p>
      <w:pPr>
        <w:pStyle w:val="ListBullet"/>
      </w:pPr>
      <w:r>
        <w:t>Secrets are loaded from environment files and are excluded from source control.</w:t>
      </w:r>
    </w:p>
    <w:p>
      <w:pPr>
        <w:pStyle w:val="ListBullet"/>
      </w:pPr>
      <w:r>
        <w:t>Errors use typed RFC 7807 problem responses; request IDs and structured logs support tracing.</w:t>
      </w:r>
    </w:p>
    <w:p>
      <w:pPr>
        <w:pStyle w:val="ListBullet"/>
      </w:pPr>
      <w:r>
        <w:t>The local administration endpoint is intentionally unauthenticated and must not be exposed publicly.</w:t>
      </w:r>
    </w:p>
    <w:p>
      <w:r>
        <w:br w:type="page"/>
      </w:r>
    </w:p>
    <w:p>
      <w:pPr>
        <w:pStyle w:val="Heading1"/>
      </w:pPr>
      <w:r>
        <w:t>11. Application Screenshots (Live Capture)</w:t>
      </w:r>
    </w:p>
    <w:p>
      <w:r>
        <w:t>The following screenshots were captured automatically from the running application.</w:t>
      </w:r>
    </w:p>
    <w:p>
      <w:pPr>
        <w:pStyle w:val="Heading2"/>
      </w:pPr>
      <w:r>
        <w:t>Landing Page</w:t>
      </w:r>
    </w:p>
    <w:p>
      <w:r>
        <w:drawing>
          <wp:inline xmlns:a="http://schemas.openxmlformats.org/drawingml/2006/main" xmlns:pic="http://schemas.openxmlformats.org/drawingml/2006/picture">
            <wp:extent cx="5669280" cy="3657473"/>
            <wp:docPr id="8" name="Picture 8"/>
            <wp:cNvGraphicFramePr>
              <a:graphicFrameLocks noChangeAspect="1"/>
            </wp:cNvGraphicFramePr>
            <a:graphic>
              <a:graphicData uri="http://schemas.openxmlformats.org/drawingml/2006/picture">
                <pic:pic>
                  <pic:nvPicPr>
                    <pic:cNvPr id="0" name="01-landing.png"/>
                    <pic:cNvPicPr/>
                  </pic:nvPicPr>
                  <pic:blipFill>
                    <a:blip r:embed="rId16"/>
                    <a:stretch>
                      <a:fillRect/>
                    </a:stretch>
                  </pic:blipFill>
                  <pic:spPr>
                    <a:xfrm>
                      <a:off x="0" y="0"/>
                      <a:ext cx="5669280" cy="3657473"/>
                    </a:xfrm>
                    <a:prstGeom prst="rect"/>
                  </pic:spPr>
                </pic:pic>
              </a:graphicData>
            </a:graphic>
          </wp:inline>
        </w:drawing>
      </w:r>
    </w:p>
    <w:p/>
    <w:p>
      <w:r>
        <w:br w:type="page"/>
      </w:r>
    </w:p>
    <w:p>
      <w:pPr>
        <w:pStyle w:val="Heading2"/>
      </w:pPr>
      <w:r>
        <w:t>Research Dashboard</w:t>
      </w:r>
    </w:p>
    <w:p>
      <w:r>
        <w:drawing>
          <wp:inline xmlns:a="http://schemas.openxmlformats.org/drawingml/2006/main" xmlns:pic="http://schemas.openxmlformats.org/drawingml/2006/picture">
            <wp:extent cx="5669280" cy="6499987"/>
            <wp:docPr id="9" name="Picture 9"/>
            <wp:cNvGraphicFramePr>
              <a:graphicFrameLocks noChangeAspect="1"/>
            </wp:cNvGraphicFramePr>
            <a:graphic>
              <a:graphicData uri="http://schemas.openxmlformats.org/drawingml/2006/picture">
                <pic:pic>
                  <pic:nvPicPr>
                    <pic:cNvPr id="0" name="02-dashboard.png"/>
                    <pic:cNvPicPr/>
                  </pic:nvPicPr>
                  <pic:blipFill>
                    <a:blip r:embed="rId17"/>
                    <a:stretch>
                      <a:fillRect/>
                    </a:stretch>
                  </pic:blipFill>
                  <pic:spPr>
                    <a:xfrm>
                      <a:off x="0" y="0"/>
                      <a:ext cx="5669280" cy="6499987"/>
                    </a:xfrm>
                    <a:prstGeom prst="rect"/>
                  </pic:spPr>
                </pic:pic>
              </a:graphicData>
            </a:graphic>
          </wp:inline>
        </w:drawing>
      </w:r>
    </w:p>
    <w:p/>
    <w:p>
      <w:r>
        <w:br w:type="page"/>
      </w:r>
    </w:p>
    <w:p>
      <w:pPr>
        <w:pStyle w:val="Heading2"/>
      </w:pPr>
      <w:r>
        <w:t>Upload and Detection</w:t>
      </w:r>
    </w:p>
    <w:p>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03-upload.png"/>
                    <pic:cNvPicPr/>
                  </pic:nvPicPr>
                  <pic:blipFill>
                    <a:blip r:embed="rId18"/>
                    <a:stretch>
                      <a:fillRect/>
                    </a:stretch>
                  </pic:blipFill>
                  <pic:spPr>
                    <a:xfrm>
                      <a:off x="0" y="0"/>
                      <a:ext cx="5669280" cy="3543300"/>
                    </a:xfrm>
                    <a:prstGeom prst="rect"/>
                  </pic:spPr>
                </pic:pic>
              </a:graphicData>
            </a:graphic>
          </wp:inline>
        </w:drawing>
      </w:r>
    </w:p>
    <w:p/>
    <w:p>
      <w:r>
        <w:br w:type="page"/>
      </w:r>
    </w:p>
    <w:p>
      <w:pPr>
        <w:pStyle w:val="Heading2"/>
      </w:pPr>
      <w:r>
        <w:t>Live Microphone Streaming</w:t>
      </w:r>
    </w:p>
    <w:p>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04-live.png"/>
                    <pic:cNvPicPr/>
                  </pic:nvPicPr>
                  <pic:blipFill>
                    <a:blip r:embed="rId19"/>
                    <a:stretch>
                      <a:fillRect/>
                    </a:stretch>
                  </pic:blipFill>
                  <pic:spPr>
                    <a:xfrm>
                      <a:off x="0" y="0"/>
                      <a:ext cx="5669280" cy="3543300"/>
                    </a:xfrm>
                    <a:prstGeom prst="rect"/>
                  </pic:spPr>
                </pic:pic>
              </a:graphicData>
            </a:graphic>
          </wp:inline>
        </w:drawing>
      </w:r>
    </w:p>
    <w:p/>
    <w:p>
      <w:r>
        <w:br w:type="page"/>
      </w:r>
    </w:p>
    <w:p>
      <w:pPr>
        <w:pStyle w:val="Heading2"/>
      </w:pPr>
      <w:r>
        <w:t>Calibration and Reliability</w:t>
      </w:r>
    </w:p>
    <w:p>
      <w:r>
        <w:drawing>
          <wp:inline xmlns:a="http://schemas.openxmlformats.org/drawingml/2006/main" xmlns:pic="http://schemas.openxmlformats.org/drawingml/2006/picture">
            <wp:extent cx="5669280" cy="3704717"/>
            <wp:docPr id="12" name="Picture 12"/>
            <wp:cNvGraphicFramePr>
              <a:graphicFrameLocks noChangeAspect="1"/>
            </wp:cNvGraphicFramePr>
            <a:graphic>
              <a:graphicData uri="http://schemas.openxmlformats.org/drawingml/2006/picture">
                <pic:pic>
                  <pic:nvPicPr>
                    <pic:cNvPr id="0" name="05-calibration.png"/>
                    <pic:cNvPicPr/>
                  </pic:nvPicPr>
                  <pic:blipFill>
                    <a:blip r:embed="rId20"/>
                    <a:stretch>
                      <a:fillRect/>
                    </a:stretch>
                  </pic:blipFill>
                  <pic:spPr>
                    <a:xfrm>
                      <a:off x="0" y="0"/>
                      <a:ext cx="5669280" cy="3704717"/>
                    </a:xfrm>
                    <a:prstGeom prst="rect"/>
                  </pic:spPr>
                </pic:pic>
              </a:graphicData>
            </a:graphic>
          </wp:inline>
        </w:drawing>
      </w:r>
    </w:p>
    <w:p/>
    <w:p>
      <w:r>
        <w:br w:type="page"/>
      </w:r>
    </w:p>
    <w:p>
      <w:pPr>
        <w:pStyle w:val="Heading2"/>
      </w:pPr>
      <w:r>
        <w:t>Explainability Suite</w:t>
      </w:r>
    </w:p>
    <w:p>
      <w:r>
        <w:drawing>
          <wp:inline xmlns:a="http://schemas.openxmlformats.org/drawingml/2006/main" xmlns:pic="http://schemas.openxmlformats.org/drawingml/2006/picture">
            <wp:extent cx="5669280" cy="6460617"/>
            <wp:docPr id="13" name="Picture 13"/>
            <wp:cNvGraphicFramePr>
              <a:graphicFrameLocks noChangeAspect="1"/>
            </wp:cNvGraphicFramePr>
            <a:graphic>
              <a:graphicData uri="http://schemas.openxmlformats.org/drawingml/2006/picture">
                <pic:pic>
                  <pic:nvPicPr>
                    <pic:cNvPr id="0" name="06-explainability.png"/>
                    <pic:cNvPicPr/>
                  </pic:nvPicPr>
                  <pic:blipFill>
                    <a:blip r:embed="rId21"/>
                    <a:stretch>
                      <a:fillRect/>
                    </a:stretch>
                  </pic:blipFill>
                  <pic:spPr>
                    <a:xfrm>
                      <a:off x="0" y="0"/>
                      <a:ext cx="5669280" cy="6460617"/>
                    </a:xfrm>
                    <a:prstGeom prst="rect"/>
                  </pic:spPr>
                </pic:pic>
              </a:graphicData>
            </a:graphic>
          </wp:inline>
        </w:drawing>
      </w:r>
    </w:p>
    <w:p/>
    <w:p>
      <w:r>
        <w:br w:type="page"/>
      </w:r>
    </w:p>
    <w:p>
      <w:pPr>
        <w:pStyle w:val="Heading2"/>
      </w:pPr>
      <w:r>
        <w:t>Dataset Explorer</w:t>
      </w:r>
    </w:p>
    <w:p>
      <w:r>
        <w:drawing>
          <wp:inline xmlns:a="http://schemas.openxmlformats.org/drawingml/2006/main" xmlns:pic="http://schemas.openxmlformats.org/drawingml/2006/picture">
            <wp:extent cx="5669280" cy="4633849"/>
            <wp:docPr id="14" name="Picture 14"/>
            <wp:cNvGraphicFramePr>
              <a:graphicFrameLocks noChangeAspect="1"/>
            </wp:cNvGraphicFramePr>
            <a:graphic>
              <a:graphicData uri="http://schemas.openxmlformats.org/drawingml/2006/picture">
                <pic:pic>
                  <pic:nvPicPr>
                    <pic:cNvPr id="0" name="07-datasets.png"/>
                    <pic:cNvPicPr/>
                  </pic:nvPicPr>
                  <pic:blipFill>
                    <a:blip r:embed="rId22"/>
                    <a:stretch>
                      <a:fillRect/>
                    </a:stretch>
                  </pic:blipFill>
                  <pic:spPr>
                    <a:xfrm>
                      <a:off x="0" y="0"/>
                      <a:ext cx="5669280" cy="4633849"/>
                    </a:xfrm>
                    <a:prstGeom prst="rect"/>
                  </pic:spPr>
                </pic:pic>
              </a:graphicData>
            </a:graphic>
          </wp:inline>
        </w:drawing>
      </w:r>
    </w:p>
    <w:p/>
    <w:p>
      <w:r>
        <w:br w:type="page"/>
      </w:r>
    </w:p>
    <w:p>
      <w:pPr>
        <w:pStyle w:val="Heading2"/>
      </w:pPr>
      <w:r>
        <w:t>Human Perception Study</w:t>
      </w:r>
    </w:p>
    <w:p>
      <w:r>
        <w:drawing>
          <wp:inline xmlns:a="http://schemas.openxmlformats.org/drawingml/2006/main" xmlns:pic="http://schemas.openxmlformats.org/drawingml/2006/picture">
            <wp:extent cx="5669280" cy="3543300"/>
            <wp:docPr id="15" name="Picture 15"/>
            <wp:cNvGraphicFramePr>
              <a:graphicFrameLocks noChangeAspect="1"/>
            </wp:cNvGraphicFramePr>
            <a:graphic>
              <a:graphicData uri="http://schemas.openxmlformats.org/drawingml/2006/picture">
                <pic:pic>
                  <pic:nvPicPr>
                    <pic:cNvPr id="0" name="08-human-study.png"/>
                    <pic:cNvPicPr/>
                  </pic:nvPicPr>
                  <pic:blipFill>
                    <a:blip r:embed="rId23"/>
                    <a:stretch>
                      <a:fillRect/>
                    </a:stretch>
                  </pic:blipFill>
                  <pic:spPr>
                    <a:xfrm>
                      <a:off x="0" y="0"/>
                      <a:ext cx="5669280" cy="3543300"/>
                    </a:xfrm>
                    <a:prstGeom prst="rect"/>
                  </pic:spPr>
                </pic:pic>
              </a:graphicData>
            </a:graphic>
          </wp:inline>
        </w:drawing>
      </w:r>
    </w:p>
    <w:p/>
    <w:p>
      <w:r>
        <w:br w:type="page"/>
      </w:r>
    </w:p>
    <w:p>
      <w:pPr>
        <w:pStyle w:val="Heading2"/>
      </w:pPr>
      <w:r>
        <w:t>Research Metrics</w:t>
      </w:r>
    </w:p>
    <w:p>
      <w:r>
        <w:drawing>
          <wp:inline xmlns:a="http://schemas.openxmlformats.org/drawingml/2006/main" xmlns:pic="http://schemas.openxmlformats.org/drawingml/2006/picture">
            <wp:extent cx="5669280" cy="6740144"/>
            <wp:docPr id="16" name="Picture 16"/>
            <wp:cNvGraphicFramePr>
              <a:graphicFrameLocks noChangeAspect="1"/>
            </wp:cNvGraphicFramePr>
            <a:graphic>
              <a:graphicData uri="http://schemas.openxmlformats.org/drawingml/2006/picture">
                <pic:pic>
                  <pic:nvPicPr>
                    <pic:cNvPr id="0" name="09-research-metrics.png"/>
                    <pic:cNvPicPr/>
                  </pic:nvPicPr>
                  <pic:blipFill>
                    <a:blip r:embed="rId24"/>
                    <a:stretch>
                      <a:fillRect/>
                    </a:stretch>
                  </pic:blipFill>
                  <pic:spPr>
                    <a:xfrm>
                      <a:off x="0" y="0"/>
                      <a:ext cx="5669280" cy="6740144"/>
                    </a:xfrm>
                    <a:prstGeom prst="rect"/>
                  </pic:spPr>
                </pic:pic>
              </a:graphicData>
            </a:graphic>
          </wp:inline>
        </w:drawing>
      </w:r>
    </w:p>
    <w:p/>
    <w:p>
      <w:pPr>
        <w:pStyle w:val="Caption"/>
      </w:pPr>
      <w:r>
        <w:t>Detail 1 of 2</w:t>
      </w:r>
    </w:p>
    <w:p>
      <w:r>
        <w:drawing>
          <wp:inline xmlns:a="http://schemas.openxmlformats.org/drawingml/2006/main" xmlns:pic="http://schemas.openxmlformats.org/drawingml/2006/picture">
            <wp:extent cx="5669280" cy="6346444"/>
            <wp:docPr id="17" name="Picture 17"/>
            <wp:cNvGraphicFramePr>
              <a:graphicFrameLocks noChangeAspect="1"/>
            </wp:cNvGraphicFramePr>
            <a:graphic>
              <a:graphicData uri="http://schemas.openxmlformats.org/drawingml/2006/picture">
                <pic:pic>
                  <pic:nvPicPr>
                    <pic:cNvPr id="0" name="09-research-metrics-01.png"/>
                    <pic:cNvPicPr/>
                  </pic:nvPicPr>
                  <pic:blipFill>
                    <a:blip r:embed="rId25"/>
                    <a:stretch>
                      <a:fillRect/>
                    </a:stretch>
                  </pic:blipFill>
                  <pic:spPr>
                    <a:xfrm>
                      <a:off x="0" y="0"/>
                      <a:ext cx="5669280" cy="6346444"/>
                    </a:xfrm>
                    <a:prstGeom prst="rect"/>
                  </pic:spPr>
                </pic:pic>
              </a:graphicData>
            </a:graphic>
          </wp:inline>
        </w:drawing>
      </w:r>
    </w:p>
    <w:p/>
    <w:p>
      <w:r>
        <w:br w:type="page"/>
      </w:r>
    </w:p>
    <w:p>
      <w:pPr>
        <w:pStyle w:val="Caption"/>
      </w:pPr>
      <w:r>
        <w:t>Detail 2 of 2</w:t>
      </w:r>
    </w:p>
    <w:p>
      <w:r>
        <w:drawing>
          <wp:inline xmlns:a="http://schemas.openxmlformats.org/drawingml/2006/main" xmlns:pic="http://schemas.openxmlformats.org/drawingml/2006/picture">
            <wp:extent cx="5669280" cy="6346444"/>
            <wp:docPr id="18" name="Picture 18"/>
            <wp:cNvGraphicFramePr>
              <a:graphicFrameLocks noChangeAspect="1"/>
            </wp:cNvGraphicFramePr>
            <a:graphic>
              <a:graphicData uri="http://schemas.openxmlformats.org/drawingml/2006/picture">
                <pic:pic>
                  <pic:nvPicPr>
                    <pic:cNvPr id="0" name="09-research-metrics-02.png"/>
                    <pic:cNvPicPr/>
                  </pic:nvPicPr>
                  <pic:blipFill>
                    <a:blip r:embed="rId26"/>
                    <a:stretch>
                      <a:fillRect/>
                    </a:stretch>
                  </pic:blipFill>
                  <pic:spPr>
                    <a:xfrm>
                      <a:off x="0" y="0"/>
                      <a:ext cx="5669280" cy="6346444"/>
                    </a:xfrm>
                    <a:prstGeom prst="rect"/>
                  </pic:spPr>
                </pic:pic>
              </a:graphicData>
            </a:graphic>
          </wp:inline>
        </w:drawing>
      </w:r>
    </w:p>
    <w:p/>
    <w:p>
      <w:r>
        <w:br w:type="page"/>
      </w:r>
    </w:p>
    <w:p>
      <w:pPr>
        <w:pStyle w:val="Heading2"/>
      </w:pPr>
      <w:r>
        <w:t>Experiment Browser</w:t>
      </w:r>
    </w:p>
    <w:p>
      <w:r>
        <w:drawing>
          <wp:inline xmlns:a="http://schemas.openxmlformats.org/drawingml/2006/main" xmlns:pic="http://schemas.openxmlformats.org/drawingml/2006/picture">
            <wp:extent cx="4464494" cy="7040880"/>
            <wp:docPr id="19" name="Picture 19"/>
            <wp:cNvGraphicFramePr>
              <a:graphicFrameLocks noChangeAspect="1"/>
            </wp:cNvGraphicFramePr>
            <a:graphic>
              <a:graphicData uri="http://schemas.openxmlformats.org/drawingml/2006/picture">
                <pic:pic>
                  <pic:nvPicPr>
                    <pic:cNvPr id="0" name="10-experiments.png"/>
                    <pic:cNvPicPr/>
                  </pic:nvPicPr>
                  <pic:blipFill>
                    <a:blip r:embed="rId27"/>
                    <a:stretch>
                      <a:fillRect/>
                    </a:stretch>
                  </pic:blipFill>
                  <pic:spPr>
                    <a:xfrm>
                      <a:off x="0" y="0"/>
                      <a:ext cx="4464494" cy="7040880"/>
                    </a:xfrm>
                    <a:prstGeom prst="rect"/>
                  </pic:spPr>
                </pic:pic>
              </a:graphicData>
            </a:graphic>
          </wp:inline>
        </w:drawing>
      </w:r>
    </w:p>
    <w:p/>
    <w:p>
      <w:pPr>
        <w:pStyle w:val="Caption"/>
      </w:pPr>
      <w:r>
        <w:t>Detail 1 of 2</w:t>
      </w:r>
    </w:p>
    <w:p>
      <w:r>
        <w:drawing>
          <wp:inline xmlns:a="http://schemas.openxmlformats.org/drawingml/2006/main" xmlns:pic="http://schemas.openxmlformats.org/drawingml/2006/picture">
            <wp:extent cx="5669280" cy="6346444"/>
            <wp:docPr id="20" name="Picture 20"/>
            <wp:cNvGraphicFramePr>
              <a:graphicFrameLocks noChangeAspect="1"/>
            </wp:cNvGraphicFramePr>
            <a:graphic>
              <a:graphicData uri="http://schemas.openxmlformats.org/drawingml/2006/picture">
                <pic:pic>
                  <pic:nvPicPr>
                    <pic:cNvPr id="0" name="10-experiments-01.png"/>
                    <pic:cNvPicPr/>
                  </pic:nvPicPr>
                  <pic:blipFill>
                    <a:blip r:embed="rId28"/>
                    <a:stretch>
                      <a:fillRect/>
                    </a:stretch>
                  </pic:blipFill>
                  <pic:spPr>
                    <a:xfrm>
                      <a:off x="0" y="0"/>
                      <a:ext cx="5669280" cy="6346444"/>
                    </a:xfrm>
                    <a:prstGeom prst="rect"/>
                  </pic:spPr>
                </pic:pic>
              </a:graphicData>
            </a:graphic>
          </wp:inline>
        </w:drawing>
      </w:r>
    </w:p>
    <w:p/>
    <w:p>
      <w:r>
        <w:br w:type="page"/>
      </w:r>
    </w:p>
    <w:p>
      <w:pPr>
        <w:pStyle w:val="Caption"/>
      </w:pPr>
      <w:r>
        <w:t>Detail 2 of 2</w:t>
      </w:r>
    </w:p>
    <w:p>
      <w:r>
        <w:drawing>
          <wp:inline xmlns:a="http://schemas.openxmlformats.org/drawingml/2006/main" xmlns:pic="http://schemas.openxmlformats.org/drawingml/2006/picture">
            <wp:extent cx="5669280" cy="2594483"/>
            <wp:docPr id="21" name="Picture 21"/>
            <wp:cNvGraphicFramePr>
              <a:graphicFrameLocks noChangeAspect="1"/>
            </wp:cNvGraphicFramePr>
            <a:graphic>
              <a:graphicData uri="http://schemas.openxmlformats.org/drawingml/2006/picture">
                <pic:pic>
                  <pic:nvPicPr>
                    <pic:cNvPr id="0" name="10-experiments-02.png"/>
                    <pic:cNvPicPr/>
                  </pic:nvPicPr>
                  <pic:blipFill>
                    <a:blip r:embed="rId29"/>
                    <a:stretch>
                      <a:fillRect/>
                    </a:stretch>
                  </pic:blipFill>
                  <pic:spPr>
                    <a:xfrm>
                      <a:off x="0" y="0"/>
                      <a:ext cx="5669280" cy="2594483"/>
                    </a:xfrm>
                    <a:prstGeom prst="rect"/>
                  </pic:spPr>
                </pic:pic>
              </a:graphicData>
            </a:graphic>
          </wp:inline>
        </w:drawing>
      </w:r>
    </w:p>
    <w:p/>
    <w:p>
      <w:r>
        <w:br w:type="page"/>
      </w:r>
    </w:p>
    <w:p>
      <w:pPr>
        <w:pStyle w:val="Heading2"/>
      </w:pPr>
      <w:r>
        <w:t>Detection History</w:t>
      </w:r>
    </w:p>
    <w:p>
      <w:r>
        <w:drawing>
          <wp:inline xmlns:a="http://schemas.openxmlformats.org/drawingml/2006/main" xmlns:pic="http://schemas.openxmlformats.org/drawingml/2006/picture">
            <wp:extent cx="5669280" cy="3543300"/>
            <wp:docPr id="22" name="Picture 22"/>
            <wp:cNvGraphicFramePr>
              <a:graphicFrameLocks noChangeAspect="1"/>
            </wp:cNvGraphicFramePr>
            <a:graphic>
              <a:graphicData uri="http://schemas.openxmlformats.org/drawingml/2006/picture">
                <pic:pic>
                  <pic:nvPicPr>
                    <pic:cNvPr id="0" name="11-history.png"/>
                    <pic:cNvPicPr/>
                  </pic:nvPicPr>
                  <pic:blipFill>
                    <a:blip r:embed="rId30"/>
                    <a:stretch>
                      <a:fillRect/>
                    </a:stretch>
                  </pic:blipFill>
                  <pic:spPr>
                    <a:xfrm>
                      <a:off x="0" y="0"/>
                      <a:ext cx="5669280" cy="3543300"/>
                    </a:xfrm>
                    <a:prstGeom prst="rect"/>
                  </pic:spPr>
                </pic:pic>
              </a:graphicData>
            </a:graphic>
          </wp:inline>
        </w:drawing>
      </w:r>
    </w:p>
    <w:p/>
    <w:p>
      <w:r>
        <w:br w:type="page"/>
      </w:r>
    </w:p>
    <w:p>
      <w:pPr>
        <w:pStyle w:val="Heading2"/>
      </w:pPr>
      <w:r>
        <w:t>Inference Browser</w:t>
      </w:r>
    </w:p>
    <w:p>
      <w:r>
        <w:drawing>
          <wp:inline xmlns:a="http://schemas.openxmlformats.org/drawingml/2006/main" xmlns:pic="http://schemas.openxmlformats.org/drawingml/2006/picture">
            <wp:extent cx="5669280" cy="3543300"/>
            <wp:docPr id="23" name="Picture 23"/>
            <wp:cNvGraphicFramePr>
              <a:graphicFrameLocks noChangeAspect="1"/>
            </wp:cNvGraphicFramePr>
            <a:graphic>
              <a:graphicData uri="http://schemas.openxmlformats.org/drawingml/2006/picture">
                <pic:pic>
                  <pic:nvPicPr>
                    <pic:cNvPr id="0" name="12-inference.png"/>
                    <pic:cNvPicPr/>
                  </pic:nvPicPr>
                  <pic:blipFill>
                    <a:blip r:embed="rId31"/>
                    <a:stretch>
                      <a:fillRect/>
                    </a:stretch>
                  </pic:blipFill>
                  <pic:spPr>
                    <a:xfrm>
                      <a:off x="0" y="0"/>
                      <a:ext cx="5669280" cy="3543300"/>
                    </a:xfrm>
                    <a:prstGeom prst="rect"/>
                  </pic:spPr>
                </pic:pic>
              </a:graphicData>
            </a:graphic>
          </wp:inline>
        </w:drawing>
      </w:r>
    </w:p>
    <w:p/>
    <w:p>
      <w:r>
        <w:br w:type="page"/>
      </w:r>
    </w:p>
    <w:p>
      <w:pPr>
        <w:pStyle w:val="Heading2"/>
      </w:pPr>
      <w:r>
        <w:t>System Administration</w:t>
      </w:r>
    </w:p>
    <w:p>
      <w:r>
        <w:drawing>
          <wp:inline xmlns:a="http://schemas.openxmlformats.org/drawingml/2006/main" xmlns:pic="http://schemas.openxmlformats.org/drawingml/2006/picture">
            <wp:extent cx="5669280" cy="3610229"/>
            <wp:docPr id="24" name="Picture 24"/>
            <wp:cNvGraphicFramePr>
              <a:graphicFrameLocks noChangeAspect="1"/>
            </wp:cNvGraphicFramePr>
            <a:graphic>
              <a:graphicData uri="http://schemas.openxmlformats.org/drawingml/2006/picture">
                <pic:pic>
                  <pic:nvPicPr>
                    <pic:cNvPr id="0" name="13-admin.png"/>
                    <pic:cNvPicPr/>
                  </pic:nvPicPr>
                  <pic:blipFill>
                    <a:blip r:embed="rId32"/>
                    <a:stretch>
                      <a:fillRect/>
                    </a:stretch>
                  </pic:blipFill>
                  <pic:spPr>
                    <a:xfrm>
                      <a:off x="0" y="0"/>
                      <a:ext cx="5669280" cy="3610229"/>
                    </a:xfrm>
                    <a:prstGeom prst="rect"/>
                  </pic:spPr>
                </pic:pic>
              </a:graphicData>
            </a:graphic>
          </wp:inline>
        </w:drawing>
      </w:r>
    </w:p>
    <w:p/>
    <w:p>
      <w:r>
        <w:br w:type="page"/>
      </w:r>
    </w:p>
    <w:p>
      <w:pPr>
        <w:pStyle w:val="Heading2"/>
      </w:pPr>
      <w:r>
        <w:t>Documentation Hub</w:t>
      </w:r>
    </w:p>
    <w:p>
      <w:r>
        <w:drawing>
          <wp:inline xmlns:a="http://schemas.openxmlformats.org/drawingml/2006/main" xmlns:pic="http://schemas.openxmlformats.org/drawingml/2006/picture">
            <wp:extent cx="5669280" cy="4185031"/>
            <wp:docPr id="25" name="Picture 25"/>
            <wp:cNvGraphicFramePr>
              <a:graphicFrameLocks noChangeAspect="1"/>
            </wp:cNvGraphicFramePr>
            <a:graphic>
              <a:graphicData uri="http://schemas.openxmlformats.org/drawingml/2006/picture">
                <pic:pic>
                  <pic:nvPicPr>
                    <pic:cNvPr id="0" name="14-docs.png"/>
                    <pic:cNvPicPr/>
                  </pic:nvPicPr>
                  <pic:blipFill>
                    <a:blip r:embed="rId33"/>
                    <a:stretch>
                      <a:fillRect/>
                    </a:stretch>
                  </pic:blipFill>
                  <pic:spPr>
                    <a:xfrm>
                      <a:off x="0" y="0"/>
                      <a:ext cx="5669280" cy="4185031"/>
                    </a:xfrm>
                    <a:prstGeom prst="rect"/>
                  </pic:spPr>
                </pic:pic>
              </a:graphicData>
            </a:graphic>
          </wp:inline>
        </w:drawing>
      </w:r>
    </w:p>
    <w:p/>
    <w:p>
      <w:r>
        <w:br w:type="page"/>
      </w:r>
    </w:p>
    <w:p>
      <w:pPr>
        <w:pStyle w:val="Heading2"/>
      </w:pPr>
      <w:r>
        <w:t>API Documentation (Swagger)</w:t>
      </w:r>
    </w:p>
    <w:p>
      <w:r>
        <w:drawing>
          <wp:inline xmlns:a="http://schemas.openxmlformats.org/drawingml/2006/main" xmlns:pic="http://schemas.openxmlformats.org/drawingml/2006/picture">
            <wp:extent cx="2502806" cy="7040880"/>
            <wp:docPr id="26" name="Picture 26"/>
            <wp:cNvGraphicFramePr>
              <a:graphicFrameLocks noChangeAspect="1"/>
            </wp:cNvGraphicFramePr>
            <a:graphic>
              <a:graphicData uri="http://schemas.openxmlformats.org/drawingml/2006/picture">
                <pic:pic>
                  <pic:nvPicPr>
                    <pic:cNvPr id="0" name="15-api-docs.png"/>
                    <pic:cNvPicPr/>
                  </pic:nvPicPr>
                  <pic:blipFill>
                    <a:blip r:embed="rId34"/>
                    <a:stretch>
                      <a:fillRect/>
                    </a:stretch>
                  </pic:blipFill>
                  <pic:spPr>
                    <a:xfrm>
                      <a:off x="0" y="0"/>
                      <a:ext cx="2502806" cy="7040880"/>
                    </a:xfrm>
                    <a:prstGeom prst="rect"/>
                  </pic:spPr>
                </pic:pic>
              </a:graphicData>
            </a:graphic>
          </wp:inline>
        </w:drawing>
      </w:r>
    </w:p>
    <w:p/>
    <w:p>
      <w:r>
        <w:br w:type="page"/>
      </w:r>
    </w:p>
    <w:p>
      <w:pPr>
        <w:pStyle w:val="Heading1"/>
      </w:pPr>
      <w:r>
        <w:t>12. API and Application Surface</w:t>
      </w:r>
    </w:p>
    <w:tbl>
      <w:tblPr>
        <w:tblStyle w:val="TableGrid"/>
        <w:tblW w:type="auto" w:w="0"/>
        <w:tblLook w:firstColumn="1" w:firstRow="1" w:lastColumn="0" w:lastRow="0" w:noHBand="0" w:noVBand="1" w:val="04A0"/>
      </w:tblPr>
      <w:tblGrid>
        <w:gridCol w:w="3408"/>
        <w:gridCol w:w="3408"/>
        <w:gridCol w:w="3408"/>
      </w:tblGrid>
      <w:tr>
        <w:tc>
          <w:tcPr>
            <w:tcW w:type="dxa" w:w="3408"/>
          </w:tcPr>
          <w:p>
            <w:r>
              <w:rPr>
                <w:b/>
              </w:rPr>
              <w:t>Method</w:t>
            </w:r>
          </w:p>
        </w:tc>
        <w:tc>
          <w:tcPr>
            <w:tcW w:type="dxa" w:w="3408"/>
          </w:tcPr>
          <w:p>
            <w:r>
              <w:rPr>
                <w:b/>
              </w:rPr>
              <w:t>Endpoint</w:t>
            </w:r>
          </w:p>
        </w:tc>
        <w:tc>
          <w:tcPr>
            <w:tcW w:type="dxa" w:w="3408"/>
          </w:tcPr>
          <w:p>
            <w:r>
              <w:rPr>
                <w:b/>
              </w:rPr>
              <w:t>Purpose</w:t>
            </w:r>
          </w:p>
        </w:tc>
      </w:tr>
      <w:tr>
        <w:tc>
          <w:tcPr>
            <w:tcW w:type="dxa" w:w="3408"/>
          </w:tcPr>
          <w:p>
            <w:r>
              <w:t>GET</w:t>
            </w:r>
          </w:p>
        </w:tc>
        <w:tc>
          <w:tcPr>
            <w:tcW w:type="dxa" w:w="3408"/>
          </w:tcPr>
          <w:p>
            <w:r>
              <w:t>/health</w:t>
            </w:r>
          </w:p>
        </w:tc>
        <w:tc>
          <w:tcPr>
            <w:tcW w:type="dxa" w:w="3408"/>
          </w:tcPr>
          <w:p>
            <w:r>
              <w:t>Process liveness</w:t>
            </w:r>
          </w:p>
        </w:tc>
      </w:tr>
      <w:tr>
        <w:tc>
          <w:tcPr>
            <w:tcW w:type="dxa" w:w="3408"/>
          </w:tcPr>
          <w:p>
            <w:r>
              <w:t>POST</w:t>
            </w:r>
          </w:p>
        </w:tc>
        <w:tc>
          <w:tcPr>
            <w:tcW w:type="dxa" w:w="3408"/>
          </w:tcPr>
          <w:p>
            <w:r>
              <w:t>/api/v1/inference</w:t>
            </w:r>
          </w:p>
        </w:tc>
        <w:tc>
          <w:tcPr>
            <w:tcW w:type="dxa" w:w="3408"/>
          </w:tcPr>
          <w:p>
            <w:r>
              <w:t>Upload and classify audio</w:t>
            </w:r>
          </w:p>
        </w:tc>
      </w:tr>
      <w:tr>
        <w:tc>
          <w:tcPr>
            <w:tcW w:type="dxa" w:w="3408"/>
          </w:tcPr>
          <w:p>
            <w:r>
              <w:t>POST</w:t>
            </w:r>
          </w:p>
        </w:tc>
        <w:tc>
          <w:tcPr>
            <w:tcW w:type="dxa" w:w="3408"/>
          </w:tcPr>
          <w:p>
            <w:r>
              <w:t>/api/v1/live/session</w:t>
            </w:r>
          </w:p>
        </w:tc>
        <w:tc>
          <w:tcPr>
            <w:tcW w:type="dxa" w:w="3408"/>
          </w:tcPr>
          <w:p>
            <w:r>
              <w:t>Create streaming session</w:t>
            </w:r>
          </w:p>
        </w:tc>
      </w:tr>
      <w:tr>
        <w:tc>
          <w:tcPr>
            <w:tcW w:type="dxa" w:w="3408"/>
          </w:tcPr>
          <w:p>
            <w:r>
              <w:t>POST</w:t>
            </w:r>
          </w:p>
        </w:tc>
        <w:tc>
          <w:tcPr>
            <w:tcW w:type="dxa" w:w="3408"/>
          </w:tcPr>
          <w:p>
            <w:r>
              <w:t>/api/v1/live/ingest</w:t>
            </w:r>
          </w:p>
        </w:tc>
        <w:tc>
          <w:tcPr>
            <w:tcW w:type="dxa" w:w="3408"/>
          </w:tcPr>
          <w:p>
            <w:r>
              <w:t>Ingest PCM16 window</w:t>
            </w:r>
          </w:p>
        </w:tc>
      </w:tr>
      <w:tr>
        <w:tc>
          <w:tcPr>
            <w:tcW w:type="dxa" w:w="3408"/>
          </w:tcPr>
          <w:p>
            <w:r>
              <w:t>GET</w:t>
            </w:r>
          </w:p>
        </w:tc>
        <w:tc>
          <w:tcPr>
            <w:tcW w:type="dxa" w:w="3408"/>
          </w:tcPr>
          <w:p>
            <w:r>
              <w:t>/api/v1/metrics</w:t>
            </w:r>
          </w:p>
        </w:tc>
        <w:tc>
          <w:tcPr>
            <w:tcW w:type="dxa" w:w="3408"/>
          </w:tcPr>
          <w:p>
            <w:r>
              <w:t>Measured demo test metrics</w:t>
            </w:r>
          </w:p>
        </w:tc>
      </w:tr>
      <w:tr>
        <w:tc>
          <w:tcPr>
            <w:tcW w:type="dxa" w:w="3408"/>
          </w:tcPr>
          <w:p>
            <w:r>
              <w:t>GET</w:t>
            </w:r>
          </w:p>
        </w:tc>
        <w:tc>
          <w:tcPr>
            <w:tcW w:type="dxa" w:w="3408"/>
          </w:tcPr>
          <w:p>
            <w:r>
              <w:t>/api/v1/calibration</w:t>
            </w:r>
          </w:p>
        </w:tc>
        <w:tc>
          <w:tcPr>
            <w:tcW w:type="dxa" w:w="3408"/>
          </w:tcPr>
          <w:p>
            <w:r>
              <w:t>ECE, Brier, reliability and coverage</w:t>
            </w:r>
          </w:p>
        </w:tc>
      </w:tr>
      <w:tr>
        <w:tc>
          <w:tcPr>
            <w:tcW w:type="dxa" w:w="3408"/>
          </w:tcPr>
          <w:p>
            <w:r>
              <w:t>GET</w:t>
            </w:r>
          </w:p>
        </w:tc>
        <w:tc>
          <w:tcPr>
            <w:tcW w:type="dxa" w:w="3408"/>
          </w:tcPr>
          <w:p>
            <w:r>
              <w:t>/api/v1/metrics/pipeline</w:t>
            </w:r>
          </w:p>
        </w:tc>
        <w:tc>
          <w:tcPr>
            <w:tcW w:type="dxa" w:w="3408"/>
          </w:tcPr>
          <w:p>
            <w:r>
              <w:t>Checkpoint and training provenance</w:t>
            </w:r>
          </w:p>
        </w:tc>
      </w:tr>
      <w:tr>
        <w:tc>
          <w:tcPr>
            <w:tcW w:type="dxa" w:w="3408"/>
          </w:tcPr>
          <w:p>
            <w:r>
              <w:t>GET</w:t>
            </w:r>
          </w:p>
        </w:tc>
        <w:tc>
          <w:tcPr>
            <w:tcW w:type="dxa" w:w="3408"/>
          </w:tcPr>
          <w:p>
            <w:r>
              <w:t>/api/v1/datasets/explorer</w:t>
            </w:r>
          </w:p>
        </w:tc>
        <w:tc>
          <w:tcPr>
            <w:tcW w:type="dxa" w:w="3408"/>
          </w:tcPr>
          <w:p>
            <w:r>
              <w:t>Corpus inventory and audio samples</w:t>
            </w:r>
          </w:p>
        </w:tc>
      </w:tr>
      <w:tr>
        <w:tc>
          <w:tcPr>
            <w:tcW w:type="dxa" w:w="3408"/>
          </w:tcPr>
          <w:p>
            <w:r>
              <w:t>GET</w:t>
            </w:r>
          </w:p>
        </w:tc>
        <w:tc>
          <w:tcPr>
            <w:tcW w:type="dxa" w:w="3408"/>
          </w:tcPr>
          <w:p>
            <w:r>
              <w:t>/api/v1/explain</w:t>
            </w:r>
          </w:p>
        </w:tc>
        <w:tc>
          <w:tcPr>
            <w:tcW w:type="dxa" w:w="3408"/>
          </w:tcPr>
          <w:p>
            <w:r>
              <w:t>Explainability artefact ledger</w:t>
            </w:r>
          </w:p>
        </w:tc>
      </w:tr>
      <w:tr>
        <w:tc>
          <w:tcPr>
            <w:tcW w:type="dxa" w:w="3408"/>
          </w:tcPr>
          <w:p>
            <w:r>
              <w:t>POST</w:t>
            </w:r>
          </w:p>
        </w:tc>
        <w:tc>
          <w:tcPr>
            <w:tcW w:type="dxa" w:w="3408"/>
          </w:tcPr>
          <w:p>
            <w:r>
              <w:t>/api/v1/human-study/register</w:t>
            </w:r>
          </w:p>
        </w:tc>
        <w:tc>
          <w:tcPr>
            <w:tcW w:type="dxa" w:w="3408"/>
          </w:tcPr>
          <w:p>
            <w:r>
              <w:t>Anonymous study registration</w:t>
            </w:r>
          </w:p>
        </w:tc>
      </w:tr>
      <w:tr>
        <w:tc>
          <w:tcPr>
            <w:tcW w:type="dxa" w:w="3408"/>
          </w:tcPr>
          <w:p>
            <w:r>
              <w:t>POST</w:t>
            </w:r>
          </w:p>
        </w:tc>
        <w:tc>
          <w:tcPr>
            <w:tcW w:type="dxa" w:w="3408"/>
          </w:tcPr>
          <w:p>
            <w:r>
              <w:t>/api/v1/human-study/response</w:t>
            </w:r>
          </w:p>
        </w:tc>
        <w:tc>
          <w:tcPr>
            <w:tcW w:type="dxa" w:w="3408"/>
          </w:tcPr>
          <w:p>
            <w:r>
              <w:t>Record judgement and confidence</w:t>
            </w:r>
          </w:p>
        </w:tc>
      </w:tr>
      <w:tr>
        <w:tc>
          <w:tcPr>
            <w:tcW w:type="dxa" w:w="3408"/>
          </w:tcPr>
          <w:p>
            <w:r>
              <w:t>GET</w:t>
            </w:r>
          </w:p>
        </w:tc>
        <w:tc>
          <w:tcPr>
            <w:tcW w:type="dxa" w:w="3408"/>
          </w:tcPr>
          <w:p>
            <w:r>
              <w:t>/api/v1/admin/status</w:t>
            </w:r>
          </w:p>
        </w:tc>
        <w:tc>
          <w:tcPr>
            <w:tcW w:type="dxa" w:w="3408"/>
          </w:tcPr>
          <w:p>
            <w:r>
              <w:t>Local environment and hardware status</w:t>
            </w:r>
          </w:p>
        </w:tc>
      </w:tr>
    </w:tbl>
    <w:p/>
    <w:p>
      <w:pPr>
        <w:pStyle w:val="Heading1"/>
      </w:pPr>
      <w:r>
        <w:t>13. Reproducibility and Deployment</w:t>
      </w:r>
    </w:p>
    <w:tbl>
      <w:tblPr>
        <w:tblStyle w:val="TableGrid"/>
        <w:tblW w:type="auto" w:w="0"/>
        <w:tblLook w:firstColumn="1" w:firstRow="1" w:lastColumn="0" w:lastRow="0" w:noHBand="0" w:noVBand="1" w:val="04A0"/>
      </w:tblPr>
      <w:tblGrid>
        <w:gridCol w:w="5112"/>
        <w:gridCol w:w="5112"/>
      </w:tblGrid>
      <w:tr>
        <w:tc>
          <w:tcPr>
            <w:tcW w:type="dxa" w:w="5112"/>
          </w:tcPr>
          <w:p>
            <w:r>
              <w:rPr>
                <w:b/>
              </w:rPr>
              <w:t>Field</w:t>
            </w:r>
          </w:p>
        </w:tc>
        <w:tc>
          <w:tcPr>
            <w:tcW w:type="dxa" w:w="5112"/>
          </w:tcPr>
          <w:p>
            <w:r>
              <w:rPr>
                <w:b/>
              </w:rPr>
              <w:t>Value</w:t>
            </w:r>
          </w:p>
        </w:tc>
      </w:tr>
      <w:tr>
        <w:tc>
          <w:tcPr>
            <w:tcW w:type="dxa" w:w="5112"/>
          </w:tcPr>
          <w:p>
            <w:r>
              <w:t>Random seed</w:t>
            </w:r>
          </w:p>
        </w:tc>
        <w:tc>
          <w:tcPr>
            <w:tcW w:type="dxa" w:w="5112"/>
          </w:tcPr>
          <w:p>
            <w:r>
              <w:t>42</w:t>
            </w:r>
          </w:p>
        </w:tc>
      </w:tr>
      <w:tr>
        <w:tc>
          <w:tcPr>
            <w:tcW w:type="dxa" w:w="5112"/>
          </w:tcPr>
          <w:p>
            <w:r>
              <w:t>Python</w:t>
            </w:r>
          </w:p>
        </w:tc>
        <w:tc>
          <w:tcPr>
            <w:tcW w:type="dxa" w:w="5112"/>
          </w:tcPr>
          <w:p>
            <w:r>
              <w:t>3.11.16</w:t>
            </w:r>
          </w:p>
        </w:tc>
      </w:tr>
      <w:tr>
        <w:tc>
          <w:tcPr>
            <w:tcW w:type="dxa" w:w="5112"/>
          </w:tcPr>
          <w:p>
            <w:r>
              <w:t>GPU</w:t>
            </w:r>
          </w:p>
        </w:tc>
        <w:tc>
          <w:tcPr>
            <w:tcW w:type="dxa" w:w="5112"/>
          </w:tcPr>
          <w:p>
            <w:r>
              <w:t>NVIDIA GeForce RTX 3050 6GB Laptop GPU</w:t>
            </w:r>
          </w:p>
        </w:tc>
      </w:tr>
      <w:tr>
        <w:tc>
          <w:tcPr>
            <w:tcW w:type="dxa" w:w="5112"/>
          </w:tcPr>
          <w:p>
            <w:r>
              <w:t>CUDA</w:t>
            </w:r>
          </w:p>
        </w:tc>
        <w:tc>
          <w:tcPr>
            <w:tcW w:type="dxa" w:w="5112"/>
          </w:tcPr>
          <w:p>
            <w:r>
              <w:t>True</w:t>
            </w:r>
          </w:p>
        </w:tc>
      </w:tr>
      <w:tr>
        <w:tc>
          <w:tcPr>
            <w:tcW w:type="dxa" w:w="5112"/>
          </w:tcPr>
          <w:p>
            <w:r>
              <w:t>Checkpoint</w:t>
            </w:r>
          </w:p>
        </w:tc>
        <w:tc>
          <w:tcPr>
            <w:tcW w:type="dxa" w:w="5112"/>
          </w:tcPr>
          <w:p>
            <w:r>
              <w:t>AASIST v1 NumPy weights</w:t>
            </w:r>
          </w:p>
        </w:tc>
      </w:tr>
      <w:tr>
        <w:tc>
          <w:tcPr>
            <w:tcW w:type="dxa" w:w="5112"/>
          </w:tcPr>
          <w:p>
            <w:r>
              <w:t>Dataset manifest</w:t>
            </w:r>
          </w:p>
        </w:tc>
        <w:tc>
          <w:tcPr>
            <w:tcW w:type="dxa" w:w="5112"/>
          </w:tcPr>
          <w:p>
            <w:r>
              <w:t>450 clips; versioned train/val/test labels</w:t>
            </w:r>
          </w:p>
        </w:tc>
      </w:tr>
      <w:tr>
        <w:tc>
          <w:tcPr>
            <w:tcW w:type="dxa" w:w="5112"/>
          </w:tcPr>
          <w:p>
            <w:r>
              <w:t>Local API</w:t>
            </w:r>
          </w:p>
        </w:tc>
        <w:tc>
          <w:tcPr>
            <w:tcW w:type="dxa" w:w="5112"/>
          </w:tcPr>
          <w:p>
            <w:r>
              <w:t>FastAPI/Uvicorn</w:t>
            </w:r>
          </w:p>
        </w:tc>
      </w:tr>
      <w:tr>
        <w:tc>
          <w:tcPr>
            <w:tcW w:type="dxa" w:w="5112"/>
          </w:tcPr>
          <w:p>
            <w:r>
              <w:t>Web application</w:t>
            </w:r>
          </w:p>
        </w:tc>
        <w:tc>
          <w:tcPr>
            <w:tcW w:type="dxa" w:w="5112"/>
          </w:tcPr>
          <w:p>
            <w:r>
              <w:t>React/Vite</w:t>
            </w:r>
          </w:p>
        </w:tc>
      </w:tr>
      <w:tr>
        <w:tc>
          <w:tcPr>
            <w:tcW w:type="dxa" w:w="5112"/>
          </w:tcPr>
          <w:p>
            <w:r>
              <w:t>Deployment profiles</w:t>
            </w:r>
          </w:p>
        </w:tc>
        <w:tc>
          <w:tcPr>
            <w:tcW w:type="dxa" w:w="5112"/>
          </w:tcPr>
          <w:p>
            <w:r>
              <w:t>Local, Docker Compose, HF Spaces scaffold</w:t>
            </w:r>
          </w:p>
        </w:tc>
      </w:tr>
    </w:tbl>
    <w:p/>
    <w:p>
      <w:r>
        <w:t>Every reported score in this document is read from the persisted training report produced by the deterministic training command. The document generator captures fresh API state and screenshots, then verifies that embedded images fit inside the printable page area.</w:t>
      </w:r>
    </w:p>
    <w:p>
      <w:pPr>
        <w:pStyle w:val="Heading1"/>
      </w:pPr>
      <w:r>
        <w:t>14. Presentation Flow (Recommended)</w:t>
      </w:r>
    </w:p>
    <w:p>
      <w:r>
        <w:t>1. Open with the problem: AI voice cloning fraud in Indian languages via compressed WhatsApp voice notes.</w:t>
      </w:r>
    </w:p>
    <w:p>
      <w:r>
        <w:t>2. State the three contributions: compression-robust detection, calibrated reliability, human baseline.</w:t>
      </w:r>
    </w:p>
    <w:p>
      <w:r>
        <w:t>3. Show architecture diagram and pipeline (Section 3).</w:t>
      </w:r>
    </w:p>
    <w:p>
      <w:r>
        <w:t>4. Live demo: Upload real clip → REAL verdict. Upload fake clip → FAKE verdict.</w:t>
      </w:r>
    </w:p>
    <w:p>
      <w:r>
        <w:t>5. Live demo: Microphone streaming — speak naturally, show REAL windows.</w:t>
      </w:r>
    </w:p>
    <w:p>
      <w:r>
        <w:t>6. Dashboard: pipeline status, validation accuracy, GPU.</w:t>
      </w:r>
    </w:p>
    <w:p>
      <w:r>
        <w:t>7. Calibration page: ECE, Brier, reliability diagram.</w:t>
      </w:r>
    </w:p>
    <w:p>
      <w:r>
        <w:t>8. Explainability: heatmaps and frequency bands.</w:t>
      </w:r>
    </w:p>
    <w:p>
      <w:r>
        <w:t>9. Human study protocol walkthrough.</w:t>
      </w:r>
    </w:p>
    <w:p>
      <w:r>
        <w:t>10. Honest limitations: demo corpus vs curated hours; RQ tables pending HF ingest.</w:t>
      </w:r>
    </w:p>
    <w:p>
      <w:r>
        <w:t>11. Close with novelty claim and future work toward conference submission.</w:t>
      </w:r>
    </w:p>
    <w:p>
      <w:r>
        <w:br w:type="page"/>
      </w:r>
    </w:p>
    <w:p>
      <w:pPr>
        <w:pStyle w:val="Heading1"/>
      </w:pPr>
      <w:r>
        <w:t>15. Limitations and Conference Readiness</w:t>
      </w:r>
    </w:p>
    <w:p>
      <w:r>
        <w:t>The application is capstone-demo ready. It is not yet defensible as a conference results paper because the current audio is synthetic, the full frozen XLS-R research path is not the default runtime, RQ1–RQ4 curated experiments are unrun, and RQ5 has no participants. Increasing a generated corpus does not substitute for real speakers, attack diversity, independent test data, or statistical validation.</w:t>
      </w:r>
    </w:p>
    <w:tbl>
      <w:tblPr>
        <w:tblStyle w:val="TableGrid"/>
        <w:tblW w:type="auto" w:w="0"/>
        <w:tblLook w:firstColumn="1" w:firstRow="1" w:lastColumn="0" w:lastRow="0" w:noHBand="0" w:noVBand="1" w:val="04A0"/>
      </w:tblPr>
      <w:tblGrid>
        <w:gridCol w:w="5112"/>
        <w:gridCol w:w="5112"/>
      </w:tblGrid>
      <w:tr>
        <w:tc>
          <w:tcPr>
            <w:tcW w:type="dxa" w:w="5112"/>
          </w:tcPr>
          <w:p>
            <w:r>
              <w:rPr>
                <w:b/>
              </w:rPr>
              <w:t>Conference requirement</w:t>
            </w:r>
          </w:p>
        </w:tc>
        <w:tc>
          <w:tcPr>
            <w:tcW w:type="dxa" w:w="5112"/>
          </w:tcPr>
          <w:p>
            <w:r>
              <w:rPr>
                <w:b/>
              </w:rPr>
              <w:t>Evidence needed</w:t>
            </w:r>
          </w:p>
        </w:tc>
      </w:tr>
      <w:tr>
        <w:tc>
          <w:tcPr>
            <w:tcW w:type="dxa" w:w="5112"/>
          </w:tcPr>
          <w:p>
            <w:r>
              <w:t>Data validity</w:t>
            </w:r>
          </w:p>
        </w:tc>
        <w:tc>
          <w:tcPr>
            <w:tcW w:type="dxa" w:w="5112"/>
          </w:tcPr>
          <w:p>
            <w:r>
              <w:t>Licenced real/fake corpora, speaker IDs, checksums, consent</w:t>
            </w:r>
          </w:p>
        </w:tc>
      </w:tr>
      <w:tr>
        <w:tc>
          <w:tcPr>
            <w:tcW w:type="dxa" w:w="5112"/>
          </w:tcPr>
          <w:p>
            <w:r>
              <w:t>External validity</w:t>
            </w:r>
          </w:p>
        </w:tc>
        <w:tc>
          <w:tcPr>
            <w:tcW w:type="dxa" w:w="5112"/>
          </w:tcPr>
          <w:p>
            <w:r>
              <w:t>Multiple TTS/voice-cloning attacks and recording channels</w:t>
            </w:r>
          </w:p>
        </w:tc>
      </w:tr>
      <w:tr>
        <w:tc>
          <w:tcPr>
            <w:tcW w:type="dxa" w:w="5112"/>
          </w:tcPr>
          <w:p>
            <w:r>
              <w:t>Compression study</w:t>
            </w:r>
          </w:p>
        </w:tc>
        <w:tc>
          <w:tcPr>
            <w:tcW w:type="dxa" w:w="5112"/>
          </w:tcPr>
          <w:p>
            <w:r>
              <w:t>Real ffmpeg Opus twins and paired significance tests</w:t>
            </w:r>
          </w:p>
        </w:tc>
      </w:tr>
      <w:tr>
        <w:tc>
          <w:tcPr>
            <w:tcW w:type="dxa" w:w="5112"/>
          </w:tcPr>
          <w:p>
            <w:r>
              <w:t>Model comparison</w:t>
            </w:r>
          </w:p>
        </w:tc>
        <w:tc>
          <w:tcPr>
            <w:tcW w:type="dxa" w:w="5112"/>
          </w:tcPr>
          <w:p>
            <w:r>
              <w:t>LFCC-GMM, RawNet2, English-only and multilingual checkpoints</w:t>
            </w:r>
          </w:p>
        </w:tc>
      </w:tr>
      <w:tr>
        <w:tc>
          <w:tcPr>
            <w:tcW w:type="dxa" w:w="5112"/>
          </w:tcPr>
          <w:p>
            <w:r>
              <w:t>Uncertainty</w:t>
            </w:r>
          </w:p>
        </w:tc>
        <w:tc>
          <w:tcPr>
            <w:tcW w:type="dxa" w:w="5112"/>
          </w:tcPr>
          <w:p>
            <w:r>
              <w:t>Bootstrap confidence intervals and pre/post calibration tests</w:t>
            </w:r>
          </w:p>
        </w:tc>
      </w:tr>
      <w:tr>
        <w:tc>
          <w:tcPr>
            <w:tcW w:type="dxa" w:w="5112"/>
          </w:tcPr>
          <w:p>
            <w:r>
              <w:t>Human baseline</w:t>
            </w:r>
          </w:p>
        </w:tc>
        <w:tc>
          <w:tcPr>
            <w:tcW w:type="dxa" w:w="5112"/>
          </w:tcPr>
          <w:p>
            <w:r>
              <w:t>At least 12–15 eligible listeners on identical stimuli</w:t>
            </w:r>
          </w:p>
        </w:tc>
      </w:tr>
      <w:tr>
        <w:tc>
          <w:tcPr>
            <w:tcW w:type="dxa" w:w="5112"/>
          </w:tcPr>
          <w:p>
            <w:r>
              <w:t>Paper claims</w:t>
            </w:r>
          </w:p>
        </w:tc>
        <w:tc>
          <w:tcPr>
            <w:tcW w:type="dxa" w:w="5112"/>
          </w:tcPr>
          <w:p>
            <w:r>
              <w:t>Numbers only from frozen, versioned result CSVs</w:t>
            </w:r>
          </w:p>
        </w:tc>
      </w:tr>
    </w:tbl>
    <w:p/>
    <w:p>
      <w:pPr>
        <w:pStyle w:val="Heading1"/>
      </w:pPr>
      <w:r>
        <w:t>16. References</w:t>
      </w:r>
    </w:p>
    <w:p>
      <w:pPr>
        <w:pStyle w:val="ListBullet"/>
      </w:pPr>
      <w:r>
        <w:t>Jung et al. (2022). AASIST: Audio Anti-Spoofing using Integrated Spectro-Temporal Graph Attention Networks. ICASSP. arXiv:2110.01200.</w:t>
      </w:r>
    </w:p>
    <w:p>
      <w:pPr>
        <w:pStyle w:val="ListBullet"/>
      </w:pPr>
      <w:r>
        <w:t>Babu et al. (2021). XLS-R: Self-supervised Cross-lingual Speech Representation Learning at Scale. arXiv:2111.09296.</w:t>
      </w:r>
    </w:p>
    <w:p>
      <w:pPr>
        <w:pStyle w:val="ListBullet"/>
      </w:pPr>
      <w:r>
        <w:t>Pascu et al. (2024). Calibrated deepfake detection in speech (cited in proposal).</w:t>
      </w:r>
    </w:p>
    <w:p>
      <w:pPr>
        <w:pStyle w:val="ListBullet"/>
      </w:pPr>
      <w:r>
        <w:t>VaaniQ Capstone Proposal (2026). Cross-lingual compression-robust detection with human baseline.</w:t>
      </w:r>
    </w:p>
    <w:p>
      <w:pPr>
        <w:pStyle w:val="ListBullet"/>
      </w:pPr>
      <w:r>
        <w:t>AI4Bharat Kathbath, IndicVoices-R, IndicSynth corpora.</w:t>
      </w:r>
    </w:p>
    <w:p>
      <w:pPr>
        <w:pStyle w:val="ListBullet"/>
      </w:pPr>
      <w:r>
        <w:t>Mozilla Common Voice v17 (Hindi, Marathi).</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