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4"/>
          <w:szCs w:val="24"/>
        </w:rPr>
        <w:t xml:space="preserve">CONFIDENTIAL</w:t>
      </w:r>
    </w:p>
    <w:p>
      <w:pPr>
        <w:spacing w:after="80"/>
      </w:pPr>
    </w:p>
    <w:p>
      <w:pPr>
        <w:spacing w:after="8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6"/>
          <w:szCs w:val="36"/>
        </w:rPr>
        <w:t xml:space="preserve">PERIODIC BENEFIT-RISK EVALUATION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(PBRER)</w:t>
      </w:r>
    </w:p>
    <w:p>
      <w:pPr>
        <w:spacing w:after="80"/>
      </w:pPr>
    </w:p>
    <w:p>
      <w:pPr>
        <w:spacing w:after="8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Prepared in accordance with ICH E2C(R2) Guidelines</w:t>
      </w: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Drug Name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Cardiozan (Rivaximab Sodium) 10mg / 20mg Tablets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Rivaximab Sodium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Marketing Authorization Holder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PharmaCorp International Ltd.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International Birth Date (IBD)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15-March-2018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Reporting Period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01-April-2023 to 31-March-2024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Version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Report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30-June-2024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PBRER Number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6th since IBD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/>
      </w:pP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Introduction</w:t>
      </w:r>
      <w:r>
        <w:rPr>
          <w:rFonts w:ascii="Arial" w:cs="Arial" w:eastAsia="Arial" w:hAnsi="Arial"/>
          <w:sz w:val="22"/>
          <w:szCs w:val="22"/>
        </w:rPr>
        <w:t xml:space="preserve">	3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Worldwide Marketing Authorization Status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Actions Taken for Safety Reasons</w:t>
      </w:r>
      <w:r>
        <w:rPr>
          <w:rFonts w:ascii="Arial" w:cs="Arial" w:eastAsia="Arial" w:hAnsi="Arial"/>
          <w:sz w:val="22"/>
          <w:szCs w:val="22"/>
        </w:rPr>
        <w:t xml:space="preserve">	5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Changes to Reference Safety Information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Estimated Exposure and Use Patterns</w:t>
      </w:r>
      <w:r>
        <w:rPr>
          <w:rFonts w:ascii="Arial" w:cs="Arial" w:eastAsia="Arial" w:hAnsi="Arial"/>
          <w:sz w:val="22"/>
          <w:szCs w:val="22"/>
        </w:rPr>
        <w:t xml:space="preserve">	7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 Presentation of Data</w:t>
      </w:r>
      <w:r>
        <w:rPr>
          <w:rFonts w:ascii="Arial" w:cs="Arial" w:eastAsia="Arial" w:hAnsi="Arial"/>
          <w:sz w:val="22"/>
          <w:szCs w:val="22"/>
        </w:rPr>
        <w:t xml:space="preserve">	9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6.1  Reference Information</w:t>
      </w:r>
      <w:r>
        <w:rPr>
          <w:rFonts w:ascii="Arial" w:cs="Arial" w:eastAsia="Arial" w:hAnsi="Arial"/>
          <w:sz w:val="22"/>
          <w:szCs w:val="22"/>
        </w:rPr>
        <w:t xml:space="preserve">	9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6.2  Cumulative Summary of Serious Adverse Events</w:t>
      </w:r>
      <w:r>
        <w:rPr>
          <w:rFonts w:ascii="Arial" w:cs="Arial" w:eastAsia="Arial" w:hAnsi="Arial"/>
          <w:sz w:val="22"/>
          <w:szCs w:val="22"/>
        </w:rPr>
        <w:t xml:space="preserve">	10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6.3  Cumulative Summary from Literature</w:t>
      </w:r>
      <w:r>
        <w:rPr>
          <w:rFonts w:ascii="Arial" w:cs="Arial" w:eastAsia="Arial" w:hAnsi="Arial"/>
          <w:sz w:val="22"/>
          <w:szCs w:val="22"/>
        </w:rPr>
        <w:t xml:space="preserve">	12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 Signal Evaluation</w:t>
      </w:r>
      <w:r>
        <w:rPr>
          <w:rFonts w:ascii="Arial" w:cs="Arial" w:eastAsia="Arial" w:hAnsi="Arial"/>
          <w:sz w:val="22"/>
          <w:szCs w:val="22"/>
        </w:rPr>
        <w:t xml:space="preserve">	13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7.1  New Signal: Hepatotoxicity</w:t>
      </w:r>
      <w:r>
        <w:rPr>
          <w:rFonts w:ascii="Arial" w:cs="Arial" w:eastAsia="Arial" w:hAnsi="Arial"/>
          <w:sz w:val="22"/>
          <w:szCs w:val="22"/>
        </w:rPr>
        <w:t xml:space="preserve">	13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7.2  Ongoing Signal: Thrombocytopenia</w:t>
      </w:r>
      <w:r>
        <w:rPr>
          <w:rFonts w:ascii="Arial" w:cs="Arial" w:eastAsia="Arial" w:hAnsi="Arial"/>
          <w:sz w:val="22"/>
          <w:szCs w:val="22"/>
        </w:rPr>
        <w:t xml:space="preserve">	14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7.3  Closed Signal: QT Prolongation</w:t>
      </w:r>
      <w:r>
        <w:rPr>
          <w:rFonts w:ascii="Arial" w:cs="Arial" w:eastAsia="Arial" w:hAnsi="Arial"/>
          <w:sz w:val="22"/>
          <w:szCs w:val="22"/>
        </w:rPr>
        <w:t xml:space="preserve">	15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 Risk Characterization</w:t>
      </w:r>
      <w:r>
        <w:rPr>
          <w:rFonts w:ascii="Arial" w:cs="Arial" w:eastAsia="Arial" w:hAnsi="Arial"/>
          <w:sz w:val="22"/>
          <w:szCs w:val="22"/>
        </w:rPr>
        <w:t xml:space="preserve">	16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8.1  Identified Risks</w:t>
      </w:r>
      <w:r>
        <w:rPr>
          <w:rFonts w:ascii="Arial" w:cs="Arial" w:eastAsia="Arial" w:hAnsi="Arial"/>
          <w:sz w:val="22"/>
          <w:szCs w:val="22"/>
        </w:rPr>
        <w:t xml:space="preserve">	16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8.2  Potential Risks</w:t>
      </w:r>
      <w:r>
        <w:rPr>
          <w:rFonts w:ascii="Arial" w:cs="Arial" w:eastAsia="Arial" w:hAnsi="Arial"/>
          <w:sz w:val="22"/>
          <w:szCs w:val="22"/>
        </w:rPr>
        <w:t xml:space="preserve">	17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8.3  Missing Information</w:t>
      </w:r>
      <w:r>
        <w:rPr>
          <w:rFonts w:ascii="Arial" w:cs="Arial" w:eastAsia="Arial" w:hAnsi="Arial"/>
          <w:sz w:val="22"/>
          <w:szCs w:val="22"/>
        </w:rPr>
        <w:t xml:space="preserve">	17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 Benefit Evaluation</w:t>
      </w:r>
      <w:r>
        <w:rPr>
          <w:rFonts w:ascii="Arial" w:cs="Arial" w:eastAsia="Arial" w:hAnsi="Arial"/>
          <w:sz w:val="22"/>
          <w:szCs w:val="22"/>
        </w:rPr>
        <w:t xml:space="preserve">	18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 Benefit-Risk Analysis</w:t>
      </w:r>
      <w:r>
        <w:rPr>
          <w:rFonts w:ascii="Arial" w:cs="Arial" w:eastAsia="Arial" w:hAnsi="Arial"/>
          <w:sz w:val="22"/>
          <w:szCs w:val="22"/>
        </w:rPr>
        <w:t xml:space="preserve">	20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 Conclusions and Recommendations</w:t>
      </w:r>
      <w:r>
        <w:rPr>
          <w:rFonts w:ascii="Arial" w:cs="Arial" w:eastAsia="Arial" w:hAnsi="Arial"/>
          <w:sz w:val="22"/>
          <w:szCs w:val="22"/>
        </w:rPr>
        <w:t xml:space="preserve">	22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A  Line Listings of ICSRs</w:t>
      </w:r>
      <w:r>
        <w:rPr>
          <w:rFonts w:ascii="Arial" w:cs="Arial" w:eastAsia="Arial" w:hAnsi="Arial"/>
          <w:sz w:val="22"/>
          <w:szCs w:val="22"/>
        </w:rPr>
        <w:t xml:space="preserve">	23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B  Cumulative Summary Tabulations</w:t>
      </w:r>
      <w:r>
        <w:rPr>
          <w:rFonts w:ascii="Arial" w:cs="Arial" w:eastAsia="Arial" w:hAnsi="Arial"/>
          <w:sz w:val="22"/>
          <w:szCs w:val="22"/>
        </w:rPr>
        <w:t xml:space="preserve">	24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C  Literature Search Strategy</w:t>
      </w:r>
      <w:r>
        <w:rPr>
          <w:rFonts w:ascii="Arial" w:cs="Arial" w:eastAsia="Arial" w:hAnsi="Arial"/>
          <w:sz w:val="22"/>
          <w:szCs w:val="22"/>
        </w:rPr>
        <w:t xml:space="preserve">	25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Cardiozan (Rivaximab Sodium) is an oral direct Factor Xa inhibitor indicated for: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Prevention of stroke and systemic embolism in adult patients with non-valvular atrial fibrillation (NVAF) with one or more risk factors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(b) Treatment of deep vein thrombosis (DVT) and pulmonary embolism (PE)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Prevention of recurrent DVT and PE in adults</w:t>
      </w: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PBRER covers the reporting period from 01-April-2023 to 31-March-2024. The approved daily dose ranges from 10mg to 20mg depending on indication and renal function. The drug was first approved on 15-March-2018 in the EU, followed by US approval on 22-June-2018. This is the 6th PBRER since international birth date.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During this reporting period, no new indications were approved. A pediatric investigation plan (PIP) for VTE prevention in adolescents aged 12-17 is ongoing (Study CZ-PED-401). Results are expected Q2-2025.</w:t>
      </w:r>
    </w:p>
    <w:p>
      <w:r>
        <w:br w:type="page"/>
      </w:r>
    </w:p>
    <w:p>
      <w:pPr>
        <w:pStyle w:val="Heading1"/>
      </w:pPr>
      <w:r>
        <w:t xml:space="preserve">2. Worldwide Marketing Authorization Status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Cardiozan is currently approved in 78 countries across 6 regions: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Indications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EU/EEA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15-Mar-2018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NVAF, DVT/PE treatment, DVT/PE prevention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22-Jun-2018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NVAF, DVT/PE treatment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Japan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10-Sep-2018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NVAF only (DVT/PE under review)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Canada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05-Dec-2018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three indications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Australia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14-Feb-2019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three indications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China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20-Aug-2019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NVAF only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Pending applications: </w:t>
      </w:r>
      <w:r>
        <w:rPr>
          <w:rFonts w:ascii="Arial" w:cs="Arial" w:eastAsia="Arial" w:hAnsi="Arial"/>
          <w:sz w:val="22"/>
          <w:szCs w:val="22"/>
        </w:rPr>
        <w:t xml:space="preserve">Brazil (ANVISA) submitted 12-Jan-2024, under review. South Korea (MFDS) submitted 08-Nov-2023, Day 120 questions received.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During the reporting period, Japan PMDA submitted a query regarding the DVT/PE indication, requesting additional data from the CZ-DVT-302 study. Response submitted on 15-Feb-2024. See Section 7 for signal evaluations that may impact marketing authorization status.</w:t>
      </w:r>
    </w:p>
    <w:p>
      <w:r>
        <w:br w:type="page"/>
      </w:r>
    </w:p>
    <w:p>
      <w:pPr>
        <w:pStyle w:val="Heading1"/>
      </w:pPr>
      <w:r>
        <w:t xml:space="preserve">3. Actions Taken in the Reporting Period for Safety Reasons</w:t>
      </w:r>
    </w:p>
    <w:p>
      <w:pPr>
        <w:pStyle w:val="Heading2"/>
      </w:pPr>
      <w:r>
        <w:t xml:space="preserve">3.1 Regulatory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64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15-Jun-2023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 PRAC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 updating SmPC Section 4.4 to include warning about hepatotoxicity risk in patients with pre-existing liver disease. Implementation completed 01-Sep-2023.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22-Aug-2023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 FDA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REMS modification to include hepatic monitoring guidance in the Medication Guide.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10-Oct-2023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Canada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Issued Dear Healthcare Professional Communication (DHPC) regarding reports of severe thrombocytopenia.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MAH-Initiated Actions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Updated Risk Management Plan (RMP) version 8.0 submitted to EMA on 30-Nov-2023 to include hepatotoxicity as an identified risk (previously potential risk).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Initiated post-marketing study CZ-HEP-501 to characterize hepatotoxicity risk factors. Study protocol approved by ethics committee 20-Jan-2024.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Distributed educational materials to 45,000 healthcare professionals across EU regarding hepatic monitoring recommendations.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For complete details on signal assessment leading to these actions, see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Section 7.1 (Hepatotoxicity Signal Evaluation).</w:t>
      </w:r>
    </w:p>
    <w:p>
      <w:r>
        <w:br w:type="page"/>
      </w:r>
    </w:p>
    <w:p>
      <w:pPr>
        <w:pStyle w:val="Heading1"/>
      </w:pPr>
      <w:r>
        <w:t xml:space="preserve">4. Changes to Reference Safety Information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Company Core Data Sheet (CCDS) version 12.0 was updated during this reporting period with the following changes:</w:t>
      </w:r>
    </w:p>
    <w:p>
      <w:pPr>
        <w:spacing w:after="80"/>
      </w:pPr>
    </w:p>
    <w:p>
      <w:pPr>
        <w:pStyle w:val="Heading2"/>
      </w:pPr>
      <w:r>
        <w:t xml:space="preserve">4.1 Section 4.3 - Contraindications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ADDED: </w:t>
      </w:r>
      <w:r>
        <w:rPr>
          <w:rFonts w:ascii="Arial" w:cs="Arial" w:eastAsia="Arial" w:hAnsi="Arial"/>
          <w:sz w:val="22"/>
          <w:szCs w:val="22"/>
        </w:rPr>
        <w:t xml:space="preserve">"Severe hepatic impairment (Child-Pugh C) associated with coagulopathy and clinically relevant bleeding risk"</w:t>
      </w:r>
    </w:p>
    <w:p>
      <w:pPr>
        <w:pStyle w:val="Heading2"/>
      </w:pPr>
      <w:r>
        <w:t xml:space="preserve">4.2 Section 4.4 - Special Warnings and Precautions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ADDED: </w:t>
      </w:r>
      <w:r>
        <w:rPr>
          <w:rFonts w:ascii="Arial" w:cs="Arial" w:eastAsia="Arial" w:hAnsi="Arial"/>
          <w:sz w:val="22"/>
          <w:szCs w:val="22"/>
        </w:rPr>
        <w:t xml:space="preserve">"Hepatotoxicity: Cases of drug-induced liver injury (DILI), including cases requiring hospitalization, have been reported. Liver function tests should be performed prior to initiation and periodically during treatment. Cardiozan should be discontinued if ALT &gt; 5x ULN or ALT &gt; 3x ULN with symptoms."</w:t>
      </w:r>
    </w:p>
    <w:p>
      <w:pPr>
        <w:pStyle w:val="Heading2"/>
      </w:pPr>
      <w:r>
        <w:t xml:space="preserve">4.3 Section 4.8 - Undesirable Effects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ADDED: </w:t>
      </w:r>
      <w:r>
        <w:rPr>
          <w:rFonts w:ascii="Arial" w:cs="Arial" w:eastAsia="Arial" w:hAnsi="Arial"/>
          <w:sz w:val="22"/>
          <w:szCs w:val="22"/>
        </w:rPr>
        <w:t xml:space="preserve">"Hepatocellular injury" under Uncommon. </w:t>
      </w:r>
      <w:r>
        <w:rPr>
          <w:rFonts w:ascii="Arial" w:cs="Arial" w:eastAsia="Arial" w:hAnsi="Arial"/>
          <w:b/>
          <w:bCs/>
          <w:color w:val="E68A00"/>
          <w:sz w:val="22"/>
          <w:szCs w:val="22"/>
        </w:rPr>
        <w:t xml:space="preserve">UPDATED: </w:t>
      </w:r>
      <w:r>
        <w:rPr>
          <w:rFonts w:ascii="Arial" w:cs="Arial" w:eastAsia="Arial" w:hAnsi="Arial"/>
          <w:sz w:val="22"/>
          <w:szCs w:val="22"/>
        </w:rPr>
        <w:t xml:space="preserve">"Thrombocytopenia" moved from Rare to Uncommon.</w:t>
      </w:r>
    </w:p>
    <w:p>
      <w:pPr>
        <w:pStyle w:val="Heading2"/>
      </w:pPr>
      <w:r>
        <w:t xml:space="preserve">4.4 Section 4.5 - Drug Interactions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ADDED: </w:t>
      </w:r>
      <w:r>
        <w:rPr>
          <w:rFonts w:ascii="Arial" w:cs="Arial" w:eastAsia="Arial" w:hAnsi="Arial"/>
          <w:sz w:val="22"/>
          <w:szCs w:val="22"/>
        </w:rPr>
        <w:t xml:space="preserve">"Concomitant use with strong CYP3A4 and P-gp inhibitors (e.g., ketoconazole, ritonavir) increases Cardiozan exposure by approximately 160%. Dose adjustment recommended. See Appendix B, Table B-3 for PK data."</w:t>
      </w:r>
    </w:p>
    <w:p>
      <w:r>
        <w:br w:type="page"/>
      </w:r>
    </w:p>
    <w:p>
      <w:pPr>
        <w:pStyle w:val="Heading1"/>
      </w:pPr>
      <w:r>
        <w:t xml:space="preserve">5. Estimated Exposure and Use Patterns</w:t>
      </w:r>
    </w:p>
    <w:p>
      <w:pPr>
        <w:pStyle w:val="Heading2"/>
      </w:pPr>
      <w:r>
        <w:t xml:space="preserve">5.1 Cumulative Patient Exposure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Total cumulative patient exposure since IBD: approximately 2.4 million patient-years. Exposure during current reporting period: approximately 520,000 patient-years.</w:t>
      </w:r>
    </w:p>
    <w:p>
      <w:pPr>
        <w:spacing w:after="80"/>
      </w:pPr>
    </w:p>
    <w:p>
      <w:pPr>
        <w:pStyle w:val="Heading2"/>
      </w:pPr>
      <w:r>
        <w:t xml:space="preserve">5.2 Exposure by Indication (Current Reporting Period)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Patient-Years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NVAF - Stroke Prevention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312,000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60.0%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DVT Treatment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93,600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 Treatment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62,400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DVT/PE Recurrence Prevention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52,000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520,000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100.0%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Exposure by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Patient-Years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Europe (EU/EEA)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218,400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42.0%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North America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156,000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Asia-Pacific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104,000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of World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41,600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520,000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100.0%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5.4 Exposure by Age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60"/>
        <w:gridCol w:w="40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Patient-Years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18-44 years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26,000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5.0%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Mainly DVT/PE treatment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45-64 years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156,000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30.0%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Mixed indications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65-74 years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213,200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41.0%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Predominantly NVAF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&gt;=75 years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124,800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24.0%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NVAF; higher bleeding risk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5.5 Exposure by Dose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20mg once daily: 364,000 patient-years (70%) - standard NVAF dose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10mg once daily: 156,000 patient-years (30%) - renal impairment / DVT prevention</w:t>
      </w:r>
    </w:p>
    <w:p>
      <w:pPr>
        <w:pStyle w:val="Heading2"/>
      </w:pPr>
      <w:r>
        <w:t xml:space="preserve">5.6 Special Populations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Patient-Years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Renal impairment (CrCl 15-50 mL/min)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62,400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Hepatic impairment (Child-Pugh A/B)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15,600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Elderly &gt;=80 years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52,000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Concomitant antiplatelet therapy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78,000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Data sources: IMS Health prescription data, company sales data, patient registries (CARDIO-REAL registry, n=28,450). Post-marketing study CZ-HEP-501 enrollment: 1,200 of planned 5,000 patients as of data cutoff. For hepatotoxicity-specific exposure data, see Section 7.1.</w:t>
      </w:r>
    </w:p>
    <w:p>
      <w:r>
        <w:br w:type="page"/>
      </w:r>
    </w:p>
    <w:p>
      <w:pPr>
        <w:pStyle w:val="Heading1"/>
      </w:pPr>
      <w:r>
        <w:t xml:space="preserve">6. Presentation of Data</w:t>
      </w:r>
    </w:p>
    <w:p>
      <w:pPr>
        <w:pStyle w:val="Heading2"/>
      </w:pPr>
      <w:r>
        <w:t xml:space="preserve">6.1 Reference Information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Reference Safety Information for this PBRER is the Company Core Data Sheet (CCDS) version 12.0, dated 01-Sep-2023. Changes during the reporting period are detailed in Section 4 of this report.</w:t>
      </w: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During this reporting period, the MAH received a total of 14,820 Individual Case Safety Reports (ICSRs) from all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Spontaneous reports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8,892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 study reports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2,964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Literature reports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1,482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 (registries, PSPs)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1,482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14,820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 these, 3,705 (25%) were classified as serious.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reporting rate for serious cases was 7.1 per 1,000 patient-years</w:t>
      </w:r>
      <w:r>
        <w:rPr>
          <w:rFonts w:ascii="Arial" w:cs="Arial" w:eastAsia="Arial" w:hAnsi="Arial"/>
          <w:sz w:val="22"/>
          <w:szCs w:val="22"/>
        </w:rPr>
        <w:t xml:space="preserve">, consistent with previous reporting periods (range: 6.5-7.8 per 1,000 patient-years). For a complete tabulation of all ICSRs by System Organ Class, refer to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Appendix B, Table B-1.</w:t>
      </w:r>
    </w:p>
    <w:p>
      <w:r>
        <w:br w:type="page"/>
      </w:r>
    </w:p>
    <w:p>
      <w:pPr>
        <w:pStyle w:val="Heading2"/>
      </w:pPr>
      <w:r>
        <w:t xml:space="preserve">6.2 Cumulative Summary of Serious Adverse Events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Cumulative SAEs by System Organ Class (SOC) - Top 10 SOCs: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  <w:gridCol w:w="1200"/>
        <w:gridCol w:w="1160"/>
      </w:tblGrid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Organ Class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Period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Rate*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Blood and lymphatic system disorders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1,842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0.79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Thrombocytopenia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0.36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Anaemia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0.18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Pancytopenia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Hepatobiliary disorders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1,245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1.01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^^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Drug-induced liver injury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0.38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^^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Hepatocellular injury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^^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Cholestatic hepatitis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Hepatic failure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^^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Gastrointestinal disorders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1,156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0.51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GI hemorrhage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0.28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Vascular disorders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0.38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Nervous system disorders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0.34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- Intracranial hemorrhage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0.09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Cardiac disorders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Renal and urinary disorders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0.26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Respiratory disorders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Skin and subcutaneous disorders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0.17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Infections and infestations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*Rate per 1,000 patient-years in current reporting period. ^ = increase, ^^ = significant increase (&gt;25%)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NOTE: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Hepatobiliary disorders showed the highest increase (+38%) compared to the previous reporting period. See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Section 7.1 for detailed signal evaluation.</w:t>
      </w: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Fatal Cases Summary (Current Period):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800"/>
        <w:gridCol w:w="3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of Death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Fatal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fatal cases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Rate: 0.13/1,000 PY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Intracranial hemorrhage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34.3%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Hepatic failure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17.9%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- See Section 7.1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 hemorrhage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16.4%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Pulmonary hemorrhage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11.9%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Cardiac causes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10.4%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9.0%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The increase in hepatic failure fatalities (from 4 in previous period to 12 in current period) is being evaluated. See Section 7.1 for complete analysis. For individual case narratives, refer to Appendix A.</w:t>
      </w:r>
    </w:p>
    <w:p>
      <w:r>
        <w:br w:type="page"/>
      </w:r>
    </w:p>
    <w:p>
      <w:pPr>
        <w:pStyle w:val="Heading2"/>
      </w:pPr>
      <w:r>
        <w:t xml:space="preserve">6.3 Cumulative Summary from Literature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During the reporting period, 342 publications relevant to Cardiozan safety were identified through systematic literature review (see Appendix C for search strategy). Key publications:</w:t>
      </w: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Hepatotoxicity: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Chen et al. (2023), J Hepatology: Case series of 15 DILI cases with Cardiozan. Median time to onset: 45 days (range 14-180). 3 cases required transplant. Pattern: predominantly hepatocellular (73%), mixed (20%), cholestatic (7%). Risk factors identified: age &gt;65, concomitant statin use, pre-existing NAFLD. [Assessed in Signal Evaluation, Section 7.1]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Yamamoto et al. (2024), Drug Safety: Population-based cohort study (n=45,000) reporting hepatotoxicity incidence of 0.42% (95% CI: 0.35-0.49%) with Cardiozan vs. 0.18% with warfarin. Adjusted OR: 2.3 (95% CI: 1.8-2.9).</w:t>
      </w: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Thrombocytopenia: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Rodriguez et al. (2023), Blood: Immune-mediated thrombocytopenia mechanism proposed. Anti-PF4 antibodies detected in 8/12 tested patients.</w:t>
      </w: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Beneficial Effects: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CARDIO-STROKE trial (Martinez et al., NEJM 2024): Confirmed 62% relative risk reduction in stroke/systemic embolism vs placebo in NVAF patients (HR 0.38, 95% CI: 0.30-0.48). NNT = 24 over 2 years.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CARDIO-VTE trial (Wilson et al., Lancet 2023): VTE recurrence rate 2.1% vs 8.7% with placebo at 12 months (HR 0.24, 95% CI: 0.18-0.32).</w:t>
      </w:r>
    </w:p>
    <w:p>
      <w:r>
        <w:br w:type="page"/>
      </w:r>
    </w:p>
    <w:p>
      <w:pPr>
        <w:pStyle w:val="Heading1"/>
      </w:pPr>
      <w:r>
        <w:t xml:space="preserve">7. Signal Evaluation</w:t>
      </w:r>
    </w:p>
    <w:p>
      <w:pPr>
        <w:pStyle w:val="Heading2"/>
      </w:pPr>
      <w:r>
        <w:t xml:space="preserve">7.1 New Signal: Hepatotoxicity (Drug-Induced Liver Injury)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Source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Spontaneous reports, clinical study data, literature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Detection Date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15-May-2023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Status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- Moved from potential to identified risk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7.1.1 Background: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Hepatotoxicity was listed as a potential risk in the RMP since version 3.0 (2020). During Q1-2023, disproportionality analysis detected a strengthening signal: PRR = 2.8 (95% CI: 2.4-3.3) for hepatocellular injury with Cardiozan vs. other DOACs in the EudraVigilance database.</w:t>
      </w: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7.1.2 Case Series Analysis: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During this reporting period, 198 new DILI cases were reported (cumulative: 387).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age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68.4 years (SD: 12.1)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distribution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Female: 58% | Male: 42%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 time to onset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 days (IQR: 21-90 days)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 dose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20mg (78% on 20mg dose)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Outcomes (current period, n=198):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Recovered/resolved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134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67.7%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Recovering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14.1%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resolved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9.1%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Fatal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3.0%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Causality Assessment (WHO-UMC): Certain: 12, Probable: 89, Possible: 78, Unlikely: 15, Unassessable: 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Dechallenge positive in 112/134 recovered cases (83.6%).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Rechallenge positive in 8/11 rechallenged cases (72.7%).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See Section 6.2 for fatal cases summary. Risk factor and mechanism analysis continued in next section.</w:t>
      </w:r>
    </w:p>
    <w:p>
      <w:r>
        <w:br w:type="page"/>
      </w:r>
    </w:p>
    <w:p>
      <w:pPr>
        <w:pStyle w:val="Heading2"/>
      </w:pPr>
      <w:r>
        <w:t xml:space="preserve">7.2 Ongoing Signal: Thrombocytopenia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Source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Spontaneous reports, literature (Rodriguez et al., 2023)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Detection Date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10-Jan-2022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Status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ONGOING EVALUATION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During this period, 187 new thrombocytopenia cases were reported (cumulative: 623). Reporting rate increased from 0.28 to 0.36 per 1,000 patient-years.</w:t>
      </w: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Severity Distribution: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60"/>
        <w:gridCol w:w="1500"/>
        <w:gridCol w:w="35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Platelet Count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 1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75,000-150,000/uL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45%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 2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50,000-75,000/uL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28%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 3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25,000-50,000/uL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18%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 4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&lt;25,000/uL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9%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Includes 3 fatal hemorrhages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7.2.2 Mechanism Investigation: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Based on Rodriguez et al. (2023), an immune-mediated mechanism is suspected. Anti-PF4 antibodies were detected in 8/12 tested patients, suggesting a heparin-induced thrombocytopenia (HIT)-like mechanism. The MAH has initiated laboratory investigation Study CZ-PLT-001 to further characterize this mechanism. Interim results expected Q3-2024.</w:t>
      </w: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7.2.3 Risk Factors Identified: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Factor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Odds Ratio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Concomitant heparin use (within 30 days)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2.1-4.8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 HIT history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5.7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2.8-11.6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Autoimmune conditions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1.4-3.2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Recommendation: Continue monitoring. Consider CCDS update to include platelet monitoring recommendation for high-risk patients. See also: Section 8.2 (Potential Risks) and Appendix B, Table B-4.</w:t>
      </w:r>
    </w:p>
    <w:p>
      <w:r>
        <w:br w:type="page"/>
      </w:r>
    </w:p>
    <w:p>
      <w:pPr>
        <w:pStyle w:val="Heading2"/>
      </w:pPr>
      <w:r>
        <w:t xml:space="preserve">7.3 Closed Signal: QT Prolongation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Source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Spontaneous reports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Detection Date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05-Mar-2022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Closure Date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20-Dec-2023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Status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CLOSED - Refuted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signal of QT prolongation was detected in March 2022 based on 23 spontaneous reports of QT prolongation or Torsade de Pointes. Initial PRR was 1.8 (95% CI: 1.1-2.9) in the WHO VigiBase database.</w:t>
      </w: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7.3.2 Evaluation Performed: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Thorough QT (TQT) study CZ-QT-201 completed (n=240 healthy volunteers): Mean ddQTcF at supratherapeutic dose (60mg): +3.2ms (90% CI: 1.8-4.6ms). This is below the 10ms threshold of regulatory concern.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Retrospective ECG analysis from Phase 3 studies (n=8,450): No signal detected. Mean QTcF change from baseline: -0.8ms (95% CI: -1.4 to -0.2).</w:t>
      </w: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Confounding analysis of 23 reported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360"/>
      </w:tblGrid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Confounding Factor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Concomitant QT-prolonging drugs (amiodarone, sotalol)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78.3%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Pre-existing long QT syndrome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17.4%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Electrolyte imbalance (hypokalemia)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</w:t>
      </w:r>
      <w:r>
        <w:rPr>
          <w:rFonts w:ascii="Arial" w:cs="Arial" w:eastAsia="Arial" w:hAnsi="Arial"/>
          <w:sz w:val="22"/>
          <w:szCs w:val="22"/>
        </w:rPr>
        <w:t xml:space="preserve">The TQT study demonstrated no clinically relevant QT effect. The spontaneous reports were confounded by concomitant medications and pre-existing conditions.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Signal closed as refuted. No CCDS changes required.</w:t>
      </w:r>
    </w:p>
    <w:p>
      <w:r>
        <w:br w:type="page"/>
      </w:r>
    </w:p>
    <w:p>
      <w:pPr>
        <w:pStyle w:val="Heading1"/>
      </w:pPr>
      <w:r>
        <w:t xml:space="preserve">8. Risk Characterization</w:t>
      </w:r>
    </w:p>
    <w:p>
      <w:pPr>
        <w:pStyle w:val="Heading2"/>
      </w:pPr>
      <w:r>
        <w:t xml:space="preserve">8.1 Identified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of Evidence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Change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bleeding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 trials, post-marketing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Intracranial hemorrhage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 trials, post-marketing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 hemorrhage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 trials, post-marketing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Hepatotoxicity/DILI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Post-marketing, literature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(was potential)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Anemia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 trials, post-marketing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Hypersensitivity reactions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Post-marketing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8.1.1 Hepatotoxicity - Detailed Risk Characterization: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Incidence rate (spontaneous reporting)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0.38 per 1,000 patient-years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Estimated true incidence (Yamamoto et al.)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0.42% (4.2 per 1,000)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 fatality rate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6.1% among reported DILI cases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ratio vs. warfarin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 (95% CI: 1.8-2.9)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Risk factors: Age &gt;65, pre-existing liver disease (NAFLD, hepatitis), concomitant statin use, CYP3A4 inhibitor co-administration. See Section 7.1 for full analysis.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Risk minimization measures implemented: CCDS updated (Section 4), DHPC distributed (Section 3), post-marketing study initiated (CZ-HEP-501), educational materials distributed.</w:t>
      </w:r>
    </w:p>
    <w:p>
      <w:r>
        <w:br w:type="page"/>
      </w:r>
    </w:p>
    <w:p>
      <w:pPr>
        <w:pStyle w:val="Heading2"/>
      </w:pPr>
      <w:r>
        <w:t xml:space="preserve">8.2 Potential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of Evidence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Steps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Thrombocytopenia (immune)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Post-marketing, literature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Study CZ-PLT-001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Interstitial lung disease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Post-marketing (12 cases)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Stevens-Johnson syndrome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Post-marketing (4 cases)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Embryo-fetal toxicity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Animal studies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Contraindicated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8.3 Missing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Planned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Pediatric use (&lt;18 years)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Study CZ-PED-401 ongoing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Pregnancy/lactation exposure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Pregnancy registry CARDIO-PREG active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Severe renal impairment (CrCl&lt;15)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Contraindicated; PK study planned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Long-term use (&gt;5 years)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CARDIO-REAL registry follow-up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Extremes of body weight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sub-study CZ-BW-201 planned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For comprehensive tabulations with detailed risk minimization measures, refer to Appendix B, Tables B-5 through B-8.</w:t>
      </w:r>
    </w:p>
    <w:p>
      <w:r>
        <w:br w:type="page"/>
      </w:r>
    </w:p>
    <w:p>
      <w:pPr>
        <w:pStyle w:val="Heading1"/>
      </w:pPr>
      <w:r>
        <w:t xml:space="preserve">9. Benefit Evaluation</w:t>
      </w:r>
    </w:p>
    <w:p>
      <w:pPr>
        <w:pStyle w:val="Heading2"/>
      </w:pPr>
      <w:r>
        <w:t xml:space="preserve">9.1 Clinical Evidence by Indication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9.1.1 NVAF - Stroke Prevention: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Stroke/SE (vs. warfarin, CARDIO-AF)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0.79 (0.66-0.96)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p=0.02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bleeding (vs. warfarin)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1.04 (0.90-1.20)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(vs. warfarin)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0.67 (0.47-0.93)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p=0.02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All-cause mortality (vs. warfarin)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0.85 (0.70-1.02)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 trend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Stroke/SE (vs. placebo, CARDIO-STROKE)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0.38 (0.30-0.48)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NNT=24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9.1.2 DVT/PE Treatment: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Recurrent VTE (vs. enoxaparin/warfarin)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0.89 (0.73-1.09)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Non-inferior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bleeding (vs. SOC)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0.54 (0.37-0.79)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p=0.001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clinical benefit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0.79 (0.68-0.93)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p=0.003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VTE recurrence at 12mo (vs. placebo)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2.1% vs 8.7%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0.24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Real-World Evidence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CARDIO-REAL Registry (n=28,450 enrolled): Stroke/SE rate 1.2/100 PY (comparable to trial 1.3/100 PY). Major bleeding 3.1/100 PY (slightly above trial 2.8/100 PY). Treatment persistence at 12 months: 82.3%. Patient satisfaction: 7.8/10 vs warfarin 6.2/10.</w:t>
      </w:r>
    </w:p>
    <w:p>
      <w:pPr>
        <w:pStyle w:val="Heading2"/>
      </w:pPr>
      <w:r>
        <w:t xml:space="preserve">9.3 Comparative Effectiveness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Meta-analysis by Thompson et al. (2024) comparing all DOACs in NVAF: Stroke prevention: ranked 2nd. Major bleeding: ranked 3rd. GI bleeding: ranked 4th. ICH prevention: ranked 1st (lowest ICH rate).</w:t>
      </w:r>
    </w:p>
    <w:p>
      <w:pPr>
        <w:pStyle w:val="Heading2"/>
      </w:pPr>
      <w:r>
        <w:t xml:space="preserve">9.4 Convenience Benefits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Once-daily dosing, no routine coagulation monitoring, fewer food interactions than warfarin, predictable pharmacokinetics.</w:t>
      </w:r>
    </w:p>
    <w:p>
      <w:r>
        <w:br w:type="page"/>
      </w:r>
    </w:p>
    <w:p>
      <w:pPr>
        <w:pStyle w:val="Heading1"/>
      </w:pPr>
      <w:r>
        <w:t xml:space="preserve">10. Benefit-Risk Analysis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benefit-risk analysis follows the ICH E2C(R2) structured approach, incorporating the PrOACT-URL framework.</w:t>
      </w:r>
    </w:p>
    <w:p>
      <w:pPr>
        <w:spacing w:after="80"/>
      </w:pPr>
    </w:p>
    <w:p>
      <w:pPr>
        <w:pStyle w:val="Heading2"/>
      </w:pPr>
      <w:r>
        <w:t xml:space="preserve">10.2.1 NVAF - Stroke Prevention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BENEFITS: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21% RRR in stroke/SE vs. warfarin (pivotal). 62% RRR vs. placebo (post-marketing). 33% reduction in ICH vs. warfarin. Once-daily dosing, no INR monitoring.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RISKS: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Major bleeding comparable to warfarin. NEW hepatotoxicity risk (0.42% incidence, 6.1% case fatality). GI bleeding higher than some DOACs. Thrombocytopenia under investigation.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Benefits clearly outweigh risks. </w:t>
      </w:r>
      <w:r>
        <w:rPr>
          <w:rFonts w:ascii="Arial" w:cs="Arial" w:eastAsia="Arial" w:hAnsi="Arial"/>
          <w:sz w:val="22"/>
          <w:szCs w:val="22"/>
        </w:rPr>
        <w:t xml:space="preserve">The hepatotoxicity risk is manageable with monitoring (LFTs). Excess hepatic fatality risk: 0.023/1,000 PY vs stroke prevention benefit: 8.3 strokes/1,000 PY prevented.</w:t>
      </w:r>
    </w:p>
    <w:p>
      <w:pPr>
        <w:spacing w:after="80"/>
      </w:pPr>
    </w:p>
    <w:p>
      <w:pPr>
        <w:pStyle w:val="Heading2"/>
      </w:pPr>
      <w:r>
        <w:t xml:space="preserve">10.2.2 DVT/PE Treatment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Benefits outweigh risks. 46% reduction in major bleeding vs. SOC is particularly important in acute VTE. Shorter treatment may reduce cumulative hepatic risk.</w:t>
      </w:r>
    </w:p>
    <w:p>
      <w:pPr>
        <w:spacing w:after="80"/>
      </w:pPr>
    </w:p>
    <w:p>
      <w:pPr>
        <w:pStyle w:val="Heading2"/>
      </w:pPr>
      <w:r>
        <w:t xml:space="preserve">10.3 Special Populations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Elderly (&gt;=75): Higher bleeding + stroke risk; net benefit maintained. Hepatic monitoring especially important.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Renal impairment: 10mg dose adequate. No adjustment for CrCl &gt;50.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Hepatic impairment: Contraindicated Child-Pugh C. Caution Child-Pugh A/B with enhanced monitoring.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10.4 Overall Conclusion: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overall benefit-risk balance of Cardiozan remains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FAVORABLE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across all approved indications, with the requirement for hepatic monitoring as an additional risk minimization measure.</w:t>
      </w:r>
    </w:p>
    <w:p>
      <w:r>
        <w:br w:type="page"/>
      </w:r>
    </w:p>
    <w:p>
      <w:pPr>
        <w:pStyle w:val="Heading1"/>
      </w:pPr>
      <w:r>
        <w:t xml:space="preserve">11. Conclusions and Recommendations</w:t>
      </w:r>
    </w:p>
    <w:p>
      <w:pPr>
        <w:pStyle w:val="Heading2"/>
      </w:pPr>
      <w:r>
        <w:t xml:space="preserve">11.1 Key Conclusions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The overall benefit-risk balance of Cardiozan remains FAVORABLE for all approved indications.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Hepatotoxicity has been reclassified from potential to IDENTIFIED RISK based on cumulative evidence (387 DILI cases, PRR 2.8, literature support). Appropriate risk minimization measures have been implemented.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The thrombocytopenia signal remains under evaluation, with a possible immune-mediated mechanism (anti-PF4 antibodies). Study CZ-PLT-001 is ongoing.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The QT prolongation signal has been CLOSED as refuted, based on a thorough QT study and confounding analysis.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No new safety signals were detected during this reporting period.</w:t>
      </w:r>
    </w:p>
    <w:p>
      <w:pPr>
        <w:spacing w:after="80"/>
      </w:pPr>
    </w:p>
    <w:p>
      <w:pPr>
        <w:pStyle w:val="Heading2"/>
      </w:pPr>
      <w:r>
        <w:t xml:space="preserve">11.2 Recommendations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Continue routine pharmacovigilance with enhanced monitoring for hepatotoxicity and thrombocytopenia.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Submit RMP version 8.0 update to all relevant regulatory authorities.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Complete CZ-HEP-501 enrollment by Q4-2024 (target: 5,000 patients).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Await CZ-PLT-001 interim results (Q3-2024) before next CCDS update.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Next PBRER due: 30-June-2025 (covering 01-Apr-2024 to 31-Mar-2025).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Recommend no changes to approved indications, doses, or target populations.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For complete references, data tabulations, and supplementary materials, see Appendices A through C.</w:t>
      </w:r>
    </w:p>
    <w:p>
      <w:r>
        <w:br w:type="page"/>
      </w:r>
    </w:p>
    <w:p>
      <w:pPr>
        <w:pStyle w:val="Heading1"/>
      </w:pPr>
      <w:r>
        <w:t xml:space="preserve">Appendix A: Line Listings of Individual Case Safety Reports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A.1 Fatal Cases - Hepatic Failure (n=12):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1100"/>
        <w:gridCol w:w="13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 ID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Narrative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Causality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RUCAM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CZ-2023-00891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72F, NVAF, 20mg, concomitant atorvastatin 40mg + amlodipine. Onset Day 38. ALT 1,245 U/L, AST 987 U/L, bilirubin 8.9 mg/dL. Hy's Law case. Transplant waitlisted but died Day 52 from multi-organ failure.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Certain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(Highly Probable)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CZ-2023-01204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81M, DVT treatment, 20mg, pre-existing NAFLD, concomitant ritonavir (HIV). Onset Day 21. Rapid progression to fulminant hepatic failure. Died Day 28. Notable: CYP3A4 inhibitor interaction likely contributed.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Probable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CZ-2023-01567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67F, NVAF, 20mg, no significant comorbidities. Onset Day 90. Gradual onset. ALT peaked at 678 U/L. Initially improving but developed hepatorenal syndrome. Died Day 112.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Probable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[9 additional fatal hepatic cases listed in full appendix]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A.2 Fatal Cases - Intracranial Hemorrhage (n=23): [detailed case narratives in full appendix]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A.3 Fatal Cases - GI Hemorrhage (n=11): [detailed case narratives in full appendix]</w:t>
      </w:r>
    </w:p>
    <w:p>
      <w:r>
        <w:br w:type="page"/>
      </w:r>
    </w:p>
    <w:p>
      <w:pPr>
        <w:pStyle w:val="Heading1"/>
      </w:pPr>
      <w:r>
        <w:t xml:space="preserve">Appendix B: Cumulative Summary Tabulations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Table B-1: All ICSRs by SOC and Seriousness [Total Serious: 3,705 | Non-Serious: 11,115]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Table B-2: ICSRs by Reporter Type [HCP: 9,876 (66.6%) | Consumers: 4,944 (33.4%)]</w:t>
      </w: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B-3: Pharmacokinetic Drug Interaction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Interacting Drug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AUC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Ketoconazole 400mg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+160%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Dose reduce to 10mg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Ritonavir 600mg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+153%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Dose reduce to 10mg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Erythromycin 500mg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+34%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adjustment needed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Fluconazole 200mg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+42%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Caution; consider 10mg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Rifampicin 600mg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-50%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Avoid concomitant use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Carbamazepine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-35%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Avoid concomitant use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Table B-4: Thrombocytopenia Cases by Severity and Risk Factor [Referenced from Section 7.2]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Tables B-5 through B-8: Risk Minimization Measures [Referenced from Section 8.3]</w:t>
      </w:r>
    </w:p>
    <w:p>
      <w:r>
        <w:br w:type="page"/>
      </w:r>
    </w:p>
    <w:p>
      <w:pPr>
        <w:pStyle w:val="Heading1"/>
      </w:pPr>
      <w:r>
        <w:t xml:space="preserve">Appendix C: Literature Search Strategy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C.1 Search Databases: PubMed/MEDLINE, Embase, Cochrane Library, WHO Pharmaceutical Newsletter, Reactions Weekly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C.2 Search Terms: Primary: "Cardiozan" OR "Rivaximab" OR "rivaximab sodium" Combined with: "adverse" OR "safety" OR "toxicity" OR "side effect" OR "pharmacovigilance" OR "post-marketing"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C.3 Search Period: 01-April-2023 to 31-March-2024</w:t>
      </w: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C.4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hits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1,247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duplicate removal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892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title/abstract screening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342 relevant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Full-text review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342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new safety information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Requiring ICSR submission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C.5 Key Publications: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Chen et al. (2023) J Hepatology - DILI case series [Sections 6.3, 7.1]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Yamamoto et al. (2024) Drug Safety - Hepatotoxicity cohort [Sections 6.3, 7.1]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Rodriguez et al. (2023) Blood - Thrombocytopenia mechanism [Sections 6.3, 7.2]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Martinez et al. (2024) NEJM - CARDIO-STROKE efficacy [Sections 6.3, 9.1]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Wilson et al. (2023) Lancet - CARDIO-VTE extension [Sections 6.3, 9.1]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Thompson et al. (2024) - DOAC meta-analysis [Section 9.3]</w:t>
      </w:r>
    </w:p>
    <w:p>
      <w:pPr>
        <w:spacing w:after="80"/>
      </w:pPr>
    </w:p>
    <w:p>
      <w:pPr>
        <w:spacing w:after="8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END OF PBRER REPORT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PharmaCorp International Ltd.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PBRER - Cardiozan (Rivaximab Sodium)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2026-02-28T14:14:06.478Z</dcterms:created>
  <dcterms:modified xsi:type="dcterms:W3CDTF">2026-02-28T14:14:06.479Z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