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52"/>
          <w:szCs w:val="52"/>
        </w:rPr>
        <w:t xml:space="preserve">Insurance Policy</w:t>
      </w:r>
    </w:p>
    <w:p>
      <w:pPr>
        <w:spacing w:before="0" w:after="120"/>
      </w:pPr>
      <w:r>
        <w:rPr>
          <w:rFonts w:ascii="Arial" w:cs="Arial" w:eastAsia="Arial" w:hAnsi="Arial"/>
          <w:color w:val="2E75B6"/>
          <w:sz w:val="36"/>
          <w:szCs w:val="36"/>
        </w:rPr>
        <w:t xml:space="preserve">Premium Calculations — Complete Guide</w:t>
      </w:r>
    </w:p>
    <w:p>
      <w:pPr>
        <w:pBdr>
          <w:bottom w:val="single" w:color="2E75B6" w:sz="8" w:space="1"/>
        </w:pBdr>
        <w:spacing w:before="0" w:after="40"/>
      </w:pPr>
      <w:r>
        <w:rPr>
          <w:rFonts w:ascii="Arial" w:cs="Arial" w:eastAsia="Arial" w:hAnsi="Arial"/>
          <w:i/>
          <w:iCs/>
          <w:color w:val="888888"/>
          <w:sz w:val="18"/>
          <w:szCs w:val="18"/>
        </w:rPr>
        <w:t xml:space="preserve">Source: Video Transcript  |  Policy Analytics 2025</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1.  Total Premium Amount</w:t>
      </w:r>
    </w:p>
    <w:p>
      <w:pPr>
        <w:spacing w:before="60" w:after="60"/>
      </w:pPr>
      <w:r>
        <w:rPr>
          <w:rFonts w:ascii="Arial" w:cs="Arial" w:eastAsia="Arial" w:hAnsi="Arial"/>
          <w:sz w:val="22"/>
          <w:szCs w:val="22"/>
        </w:rPr>
        <w:t xml:space="preserve">The total premium amount is the base premium charged for the insurance policy. It serves as the foundation for all subsequent calculations including annual premium, total paid, and maturity value.</w:t>
      </w:r>
    </w:p>
    <w:p>
      <w:pPr>
        <w:spacing w:before="80" w:after="80"/>
      </w:pPr>
      <w:r>
        <w:t xml:space="preserve"/>
      </w:r>
    </w:p>
    <w:p>
      <w:pPr>
        <w:spacing w:before="200" w:after="80"/>
      </w:pPr>
      <w:r>
        <w:rPr>
          <w:rFonts w:ascii="Arial" w:cs="Arial" w:eastAsia="Arial" w:hAnsi="Arial"/>
          <w:b/>
          <w:bCs/>
          <w:color w:val="1F3864"/>
          <w:sz w:val="24"/>
          <w:szCs w:val="24"/>
        </w:rPr>
        <w:t xml:space="preserve">Key Inputs</w:t>
      </w:r>
    </w:p>
    <w:p>
      <w:pPr>
        <w:pStyle w:val="ListParagraph"/>
        <w:numPr>
          <w:ilvl w:val="0"/>
          <w:numId w:val="2"/>
        </w:numPr>
        <w:spacing w:before="40" w:after="40"/>
      </w:pPr>
      <w:r>
        <w:rPr>
          <w:rFonts w:ascii="Arial" w:cs="Arial" w:eastAsia="Arial" w:hAnsi="Arial"/>
          <w:b w:val="false"/>
          <w:bCs w:val="false"/>
          <w:sz w:val="22"/>
          <w:szCs w:val="22"/>
        </w:rPr>
        <w:t xml:space="preserve">Policy Type</w:t>
      </w:r>
    </w:p>
    <w:p>
      <w:pPr>
        <w:pStyle w:val="ListParagraph"/>
        <w:numPr>
          <w:ilvl w:val="0"/>
          <w:numId w:val="2"/>
        </w:numPr>
        <w:spacing w:before="40" w:after="40"/>
      </w:pPr>
      <w:r>
        <w:rPr>
          <w:rFonts w:ascii="Arial" w:cs="Arial" w:eastAsia="Arial" w:hAnsi="Arial"/>
          <w:b w:val="false"/>
          <w:bCs w:val="false"/>
          <w:sz w:val="22"/>
          <w:szCs w:val="22"/>
        </w:rPr>
        <w:t xml:space="preserve">Sum Assured</w:t>
      </w:r>
    </w:p>
    <w:p>
      <w:pPr>
        <w:pStyle w:val="ListParagraph"/>
        <w:numPr>
          <w:ilvl w:val="0"/>
          <w:numId w:val="2"/>
        </w:numPr>
        <w:spacing w:before="40" w:after="40"/>
      </w:pPr>
      <w:r>
        <w:rPr>
          <w:rFonts w:ascii="Arial" w:cs="Arial" w:eastAsia="Arial" w:hAnsi="Arial"/>
          <w:b w:val="false"/>
          <w:bCs w:val="false"/>
          <w:sz w:val="22"/>
          <w:szCs w:val="22"/>
        </w:rPr>
        <w:t xml:space="preserve">Age &amp; Tenure of the policy holder</w:t>
      </w:r>
    </w:p>
    <w:p>
      <w:pPr>
        <w:pStyle w:val="ListParagraph"/>
        <w:numPr>
          <w:ilvl w:val="0"/>
          <w:numId w:val="2"/>
        </w:numPr>
        <w:spacing w:before="40" w:after="40"/>
      </w:pPr>
      <w:r>
        <w:rPr>
          <w:rFonts w:ascii="Arial" w:cs="Arial" w:eastAsia="Arial" w:hAnsi="Arial"/>
          <w:b w:val="false"/>
          <w:bCs w:val="false"/>
          <w:sz w:val="22"/>
          <w:szCs w:val="22"/>
        </w:rPr>
        <w:t xml:space="preserve">Rider benefits (if any)</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2.  Total Annual Premium</w:t>
      </w:r>
    </w:p>
    <w:p>
      <w:pPr>
        <w:spacing w:before="60" w:after="60"/>
      </w:pPr>
      <w:r>
        <w:rPr>
          <w:rFonts w:ascii="Arial" w:cs="Arial" w:eastAsia="Arial" w:hAnsi="Arial"/>
          <w:sz w:val="22"/>
          <w:szCs w:val="22"/>
        </w:rPr>
        <w:t xml:space="preserve">The total annual premium represents how much the policy holder pays per year, regardless of the payment frequency chosen. A switch statement is used to convert the premium into an annualized figure.</w:t>
      </w:r>
    </w:p>
    <w:p>
      <w:pPr>
        <w:spacing w:before="80" w:after="80"/>
      </w:pPr>
      <w:r>
        <w:t xml:space="preserve"/>
      </w:r>
    </w:p>
    <w:p>
      <w:pPr>
        <w:spacing w:before="200" w:after="80"/>
      </w:pPr>
      <w:r>
        <w:rPr>
          <w:rFonts w:ascii="Arial" w:cs="Arial" w:eastAsia="Arial" w:hAnsi="Arial"/>
          <w:b/>
          <w:bCs/>
          <w:color w:val="1F3864"/>
          <w:sz w:val="24"/>
          <w:szCs w:val="24"/>
        </w:rPr>
        <w:t xml:space="preserve">Switch Statement Logic</w:t>
      </w:r>
    </w:p>
    <w:p>
      <w:pPr>
        <w:spacing w:before="60" w:after="60"/>
      </w:pPr>
      <w:r>
        <w:rPr>
          <w:rFonts w:ascii="Arial" w:cs="Arial" w:eastAsia="Arial" w:hAnsi="Arial"/>
          <w:sz w:val="22"/>
          <w:szCs w:val="22"/>
        </w:rPr>
        <w:t xml:space="preserve">Depending on the payment mode selected, the base premium is multiplied as follows: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Frequency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Multiplier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Annual Premium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2"/>
                <w:szCs w:val="22"/>
              </w:rPr>
              <w:t xml:space="preserve">Monthly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E75B6"/>
                <w:sz w:val="22"/>
                <w:szCs w:val="22"/>
              </w:rPr>
              <w:t xml:space="preserve">× 12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F3864"/>
                <w:sz w:val="22"/>
                <w:szCs w:val="22"/>
              </w:rPr>
              <w:t xml:space="preserve">Premium × 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Quarterly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5B6"/>
                <w:sz w:val="22"/>
                <w:szCs w:val="22"/>
              </w:rPr>
              <w:t xml:space="preserve">× 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3864"/>
                <w:sz w:val="22"/>
                <w:szCs w:val="22"/>
              </w:rPr>
              <w:t xml:space="preserve">Premium × 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000000"/>
                <w:sz w:val="22"/>
                <w:szCs w:val="22"/>
              </w:rPr>
              <w:t xml:space="preserve">Half-Yearly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2E75B6"/>
                <w:sz w:val="22"/>
                <w:szCs w:val="22"/>
              </w:rPr>
              <w:t xml:space="preserve">× 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color w:val="1F3864"/>
                <w:sz w:val="22"/>
                <w:szCs w:val="22"/>
              </w:rPr>
              <w:t xml:space="preserve">Premium ×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2"/>
                <w:szCs w:val="22"/>
              </w:rPr>
              <w:t xml:space="preserve">Yearly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E75B6"/>
                <w:sz w:val="22"/>
                <w:szCs w:val="22"/>
              </w:rPr>
              <w:t xml:space="preserve">×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F3864"/>
                <w:sz w:val="22"/>
                <w:szCs w:val="22"/>
              </w:rPr>
              <w:t xml:space="preserve">Premium × 1</w:t>
            </w:r>
          </w:p>
        </w:tc>
      </w:tr>
    </w:tbl>
    <w:p>
      <w:pPr>
        <w:spacing w:before="80" w:after="80"/>
      </w:pPr>
      <w:r>
        <w:t xml:space="preserve"/>
      </w:r>
    </w:p>
    <w:p>
      <w:pPr>
        <w:pBdr>
          <w:left w:val="single" w:color="2E75B6" w:sz="12" w:space="4"/>
        </w:pBdr>
        <w:shd w:fill="F2F2F2" w:val="clear"/>
        <w:spacing w:before="60" w:after="60"/>
        <w:ind w:left="360"/>
      </w:pPr>
      <w:r>
        <w:rPr>
          <w:rFonts w:ascii="Arial" w:cs="Arial" w:eastAsia="Arial" w:hAnsi="Arial"/>
          <w:i/>
          <w:iCs/>
          <w:color w:val="555555"/>
          <w:sz w:val="20"/>
          <w:szCs w:val="20"/>
        </w:rPr>
        <w:t xml:space="preserve">Implementation note: Use a switch/case block in code to handle each frequency case and return the correct multiplier before computing the annual figure.</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3.  Total Premium Paid</w:t>
      </w:r>
    </w:p>
    <w:p>
      <w:pPr>
        <w:spacing w:before="60" w:after="60"/>
      </w:pPr>
      <w:r>
        <w:rPr>
          <w:rFonts w:ascii="Arial" w:cs="Arial" w:eastAsia="Arial" w:hAnsi="Arial"/>
          <w:sz w:val="22"/>
          <w:szCs w:val="22"/>
        </w:rPr>
        <w:t xml:space="preserve">This is the cumulative amount the policy holder has paid from the policy start date up to the current date.</w:t>
      </w:r>
    </w:p>
    <w:p>
      <w:pPr>
        <w:spacing w:before="80" w:after="80"/>
      </w:pPr>
      <w:r>
        <w:t xml:space="preserve"/>
      </w:r>
    </w:p>
    <w:p>
      <w:pPr>
        <w:spacing w:before="200" w:after="80"/>
      </w:pPr>
      <w:r>
        <w:rPr>
          <w:rFonts w:ascii="Arial" w:cs="Arial" w:eastAsia="Arial" w:hAnsi="Arial"/>
          <w:b/>
          <w:bCs/>
          <w:color w:val="1F3864"/>
          <w:sz w:val="24"/>
          <w:szCs w:val="24"/>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center"/>
            </w:pPr>
            <w:r>
              <w:rPr>
                <w:rFonts w:ascii="Courier New" w:cs="Courier New" w:eastAsia="Courier New" w:hAnsi="Courier New"/>
                <w:b/>
                <w:bCs/>
                <w:color w:val="1F3864"/>
                <w:sz w:val="22"/>
                <w:szCs w:val="22"/>
              </w:rPr>
              <w:t xml:space="preserve">Total Premium Paid  =  Annual Premium  ×  Number of Years Paid</w:t>
            </w:r>
          </w:p>
        </w:tc>
      </w:tr>
    </w:tbl>
    <w:p>
      <w:pPr>
        <w:spacing w:before="80" w:after="80"/>
      </w:pPr>
      <w:r>
        <w:t xml:space="preserve"/>
      </w:r>
    </w:p>
    <w:p>
      <w:pPr>
        <w:spacing w:before="200" w:after="80"/>
      </w:pPr>
      <w:r>
        <w:rPr>
          <w:rFonts w:ascii="Arial" w:cs="Arial" w:eastAsia="Arial" w:hAnsi="Arial"/>
          <w:b/>
          <w:bCs/>
          <w:color w:val="1F3864"/>
          <w:sz w:val="24"/>
          <w:szCs w:val="24"/>
        </w:rPr>
        <w:t xml:space="preserve">Example</w:t>
      </w:r>
    </w:p>
    <w:p>
      <w:pPr>
        <w:pStyle w:val="ListParagraph"/>
        <w:numPr>
          <w:ilvl w:val="0"/>
          <w:numId w:val="2"/>
        </w:numPr>
        <w:spacing w:before="40" w:after="40"/>
      </w:pPr>
      <w:r>
        <w:rPr>
          <w:rFonts w:ascii="Arial" w:cs="Arial" w:eastAsia="Arial" w:hAnsi="Arial"/>
          <w:b w:val="false"/>
          <w:bCs w:val="false"/>
          <w:sz w:val="22"/>
          <w:szCs w:val="22"/>
        </w:rPr>
        <w:t xml:space="preserve">Policy start year:  2020</w:t>
      </w:r>
    </w:p>
    <w:p>
      <w:pPr>
        <w:pStyle w:val="ListParagraph"/>
        <w:numPr>
          <w:ilvl w:val="0"/>
          <w:numId w:val="2"/>
        </w:numPr>
        <w:spacing w:before="40" w:after="40"/>
      </w:pPr>
      <w:r>
        <w:rPr>
          <w:rFonts w:ascii="Arial" w:cs="Arial" w:eastAsia="Arial" w:hAnsi="Arial"/>
          <w:b w:val="false"/>
          <w:bCs w:val="false"/>
          <w:sz w:val="22"/>
          <w:szCs w:val="22"/>
        </w:rPr>
        <w:t xml:space="preserve">Current year:  2025</w:t>
      </w:r>
    </w:p>
    <w:p>
      <w:pPr>
        <w:pStyle w:val="ListParagraph"/>
        <w:numPr>
          <w:ilvl w:val="0"/>
          <w:numId w:val="2"/>
        </w:numPr>
        <w:spacing w:before="40" w:after="40"/>
      </w:pPr>
      <w:r>
        <w:rPr>
          <w:rFonts w:ascii="Arial" w:cs="Arial" w:eastAsia="Arial" w:hAnsi="Arial"/>
          <w:b w:val="false"/>
          <w:bCs w:val="false"/>
          <w:sz w:val="22"/>
          <w:szCs w:val="22"/>
        </w:rPr>
        <w:t xml:space="preserve">Years paid:  5</w:t>
      </w:r>
    </w:p>
    <w:p>
      <w:pPr>
        <w:pStyle w:val="ListParagraph"/>
        <w:numPr>
          <w:ilvl w:val="0"/>
          <w:numId w:val="2"/>
        </w:numPr>
        <w:spacing w:before="40" w:after="40"/>
      </w:pPr>
      <w:r>
        <w:rPr>
          <w:rFonts w:ascii="Arial" w:cs="Arial" w:eastAsia="Arial" w:hAnsi="Arial"/>
          <w:b w:val="false"/>
          <w:bCs w:val="false"/>
          <w:sz w:val="22"/>
          <w:szCs w:val="22"/>
        </w:rPr>
        <w:t xml:space="preserve">Annual premium:  ₹20,000</w:t>
      </w:r>
    </w:p>
    <w:p>
      <w:pPr>
        <w:spacing w:before="80" w:after="80"/>
      </w:pPr>
      <w:r>
        <w:t xml:space="preserve"/>
      </w:r>
    </w:p>
    <w:p>
      <w:pPr>
        <w:spacing w:before="60" w:after="60"/>
      </w:pPr>
      <w:r>
        <w:rPr>
          <w:rFonts w:ascii="Arial" w:cs="Arial" w:eastAsia="Arial" w:hAnsi="Arial"/>
          <w:sz w:val="22"/>
          <w:szCs w:val="22"/>
        </w:rPr>
        <w:t xml:space="preserve">Total Premium Paid  =  ₹20,000 × 5  =  </w:t>
      </w:r>
      <w:r>
        <w:rPr>
          <w:rFonts w:ascii="Arial" w:cs="Arial" w:eastAsia="Arial" w:hAnsi="Arial"/>
          <w:b/>
          <w:bCs/>
          <w:color w:val="2E75B6"/>
          <w:sz w:val="22"/>
          <w:szCs w:val="22"/>
        </w:rPr>
        <w:t xml:space="preserve">₹1,00,000</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4.  Maturity Amount</w:t>
      </w:r>
    </w:p>
    <w:p>
      <w:pPr>
        <w:spacing w:before="60" w:after="60"/>
      </w:pPr>
      <w:r>
        <w:rPr>
          <w:rFonts w:ascii="Arial" w:cs="Arial" w:eastAsia="Arial" w:hAnsi="Arial"/>
          <w:sz w:val="22"/>
          <w:szCs w:val="22"/>
        </w:rPr>
        <w:t xml:space="preserve">The maturity amount is the total sum of money the policy holder will receive at the end of the policy term. It is computed based on a return rate matrix that varies by policy type, premium amount, and tenure.</w:t>
      </w:r>
    </w:p>
    <w:p>
      <w:pPr>
        <w:spacing w:before="80" w:after="80"/>
      </w:pPr>
      <w:r>
        <w:t xml:space="preserve"/>
      </w:r>
    </w:p>
    <w:p>
      <w:pPr>
        <w:spacing w:before="200" w:after="80"/>
      </w:pPr>
      <w:r>
        <w:rPr>
          <w:rFonts w:ascii="Arial" w:cs="Arial" w:eastAsia="Arial" w:hAnsi="Arial"/>
          <w:b/>
          <w:bCs/>
          <w:color w:val="1F3864"/>
          <w:sz w:val="24"/>
          <w:szCs w:val="24"/>
        </w:rPr>
        <w:t xml:space="preserve">Maturity Depends On</w:t>
      </w:r>
    </w:p>
    <w:p>
      <w:pPr>
        <w:pStyle w:val="ListParagraph"/>
        <w:numPr>
          <w:ilvl w:val="0"/>
          <w:numId w:val="2"/>
        </w:numPr>
        <w:spacing w:before="40" w:after="40"/>
      </w:pPr>
      <w:r>
        <w:rPr>
          <w:rFonts w:ascii="Arial" w:cs="Arial" w:eastAsia="Arial" w:hAnsi="Arial"/>
          <w:b w:val="false"/>
          <w:bCs w:val="false"/>
          <w:sz w:val="22"/>
          <w:szCs w:val="22"/>
        </w:rPr>
        <w:t xml:space="preserve">Return Rate Matrix — varies by policy type</w:t>
      </w:r>
    </w:p>
    <w:p>
      <w:pPr>
        <w:pStyle w:val="ListParagraph"/>
        <w:numPr>
          <w:ilvl w:val="0"/>
          <w:numId w:val="2"/>
        </w:numPr>
        <w:spacing w:before="40" w:after="40"/>
      </w:pPr>
      <w:r>
        <w:rPr>
          <w:rFonts w:ascii="Arial" w:cs="Arial" w:eastAsia="Arial" w:hAnsi="Arial"/>
          <w:b w:val="false"/>
          <w:bCs w:val="false"/>
          <w:sz w:val="22"/>
          <w:szCs w:val="22"/>
        </w:rPr>
        <w:t xml:space="preserve">Total Annual Premium — frequency-normalised value</w:t>
      </w:r>
    </w:p>
    <w:p>
      <w:pPr>
        <w:pStyle w:val="ListParagraph"/>
        <w:numPr>
          <w:ilvl w:val="0"/>
          <w:numId w:val="2"/>
        </w:numPr>
        <w:spacing w:before="40" w:after="40"/>
      </w:pPr>
      <w:r>
        <w:rPr>
          <w:rFonts w:ascii="Arial" w:cs="Arial" w:eastAsia="Arial" w:hAnsi="Arial"/>
          <w:b w:val="false"/>
          <w:bCs w:val="false"/>
          <w:sz w:val="22"/>
          <w:szCs w:val="22"/>
        </w:rPr>
        <w:t xml:space="preserve">Tenure — policy term in years</w:t>
      </w:r>
    </w:p>
    <w:p>
      <w:pPr>
        <w:pStyle w:val="ListParagraph"/>
        <w:numPr>
          <w:ilvl w:val="0"/>
          <w:numId w:val="2"/>
        </w:numPr>
        <w:spacing w:before="40" w:after="40"/>
      </w:pPr>
      <w:r>
        <w:rPr>
          <w:rFonts w:ascii="Arial" w:cs="Arial" w:eastAsia="Arial" w:hAnsi="Arial"/>
          <w:b w:val="false"/>
          <w:bCs w:val="false"/>
          <w:sz w:val="22"/>
          <w:szCs w:val="22"/>
        </w:rPr>
        <w:t xml:space="preserve">Policy Status — only ACTIVE policies are considered</w:t>
      </w:r>
    </w:p>
    <w:p>
      <w:pPr>
        <w:pStyle w:val="ListParagraph"/>
        <w:numPr>
          <w:ilvl w:val="0"/>
          <w:numId w:val="2"/>
        </w:numPr>
        <w:spacing w:before="40" w:after="40"/>
      </w:pPr>
      <w:r>
        <w:rPr>
          <w:rFonts w:ascii="Arial" w:cs="Arial" w:eastAsia="Arial" w:hAnsi="Arial"/>
          <w:b w:val="false"/>
          <w:bCs w:val="false"/>
          <w:sz w:val="22"/>
          <w:szCs w:val="22"/>
        </w:rPr>
        <w:t xml:space="preserve">Policy Name / Type — different types have different return rate assumptions</w:t>
      </w:r>
    </w:p>
    <w:p>
      <w:pPr>
        <w:spacing w:before="80" w:after="80"/>
      </w:pPr>
      <w:r>
        <w:t xml:space="preserve"/>
      </w:r>
    </w:p>
    <w:p>
      <w:pPr>
        <w:pBdr>
          <w:left w:val="single" w:color="2E75B6" w:sz="12" w:space="4"/>
        </w:pBdr>
        <w:shd w:fill="F2F2F2" w:val="clear"/>
        <w:spacing w:before="60" w:after="60"/>
        <w:ind w:left="360"/>
      </w:pPr>
      <w:r>
        <w:rPr>
          <w:rFonts w:ascii="Arial" w:cs="Arial" w:eastAsia="Arial" w:hAnsi="Arial"/>
          <w:i/>
          <w:iCs/>
          <w:color w:val="555555"/>
          <w:sz w:val="20"/>
          <w:szCs w:val="20"/>
        </w:rPr>
        <w:t xml:space="preserve">Business Rule: Only policies with status = ACTIVE must be included in maturity calculations. Lapsed, surrendered, or pending policies must be excluded.</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5.  Premium Payment Duration</w:t>
      </w:r>
    </w:p>
    <w:p>
      <w:pPr>
        <w:spacing w:before="60" w:after="60"/>
      </w:pPr>
      <w:r>
        <w:rPr>
          <w:rFonts w:ascii="Arial" w:cs="Arial" w:eastAsia="Arial" w:hAnsi="Arial"/>
          <w:sz w:val="22"/>
          <w:szCs w:val="22"/>
        </w:rPr>
        <w:t xml:space="preserve">Premium payment duration refers to the number of years for which the policy holder is required to pay premiums. This is distinct from the policy tenure (which is when the payout occurs).</w:t>
      </w:r>
    </w:p>
    <w:p>
      <w:pPr>
        <w:spacing w:before="80" w:after="80"/>
      </w:pPr>
      <w:r>
        <w:t xml:space="preserve"/>
      </w:r>
    </w:p>
    <w:p>
      <w:pPr>
        <w:spacing w:before="200" w:after="80"/>
      </w:pPr>
      <w:r>
        <w:rPr>
          <w:rFonts w:ascii="Arial" w:cs="Arial" w:eastAsia="Arial" w:hAnsi="Arial"/>
          <w:b/>
          <w:bCs/>
          <w:color w:val="1F3864"/>
          <w:sz w:val="24"/>
          <w:szCs w:val="24"/>
        </w:rPr>
        <w:t xml:space="preserve">Key Metrics</w:t>
      </w:r>
    </w:p>
    <w:p>
      <w:pPr>
        <w:pStyle w:val="ListParagraph"/>
        <w:numPr>
          <w:ilvl w:val="0"/>
          <w:numId w:val="2"/>
        </w:numPr>
        <w:spacing w:before="40" w:after="40"/>
      </w:pPr>
      <w:r>
        <w:rPr>
          <w:rFonts w:ascii="Arial" w:cs="Arial" w:eastAsia="Arial" w:hAnsi="Arial"/>
          <w:b w:val="false"/>
          <w:bCs w:val="false"/>
          <w:sz w:val="22"/>
          <w:szCs w:val="22"/>
        </w:rPr>
        <w:t xml:space="preserve">Start Year:  2020</w:t>
      </w:r>
    </w:p>
    <w:p>
      <w:pPr>
        <w:pStyle w:val="ListParagraph"/>
        <w:numPr>
          <w:ilvl w:val="0"/>
          <w:numId w:val="2"/>
        </w:numPr>
        <w:spacing w:before="40" w:after="40"/>
      </w:pPr>
      <w:r>
        <w:rPr>
          <w:rFonts w:ascii="Arial" w:cs="Arial" w:eastAsia="Arial" w:hAnsi="Arial"/>
          <w:b w:val="false"/>
          <w:bCs w:val="false"/>
          <w:sz w:val="22"/>
          <w:szCs w:val="22"/>
        </w:rPr>
        <w:t xml:space="preserve">Payment Duration:  15 years  (pays until 2035)</w:t>
      </w:r>
    </w:p>
    <w:p>
      <w:pPr>
        <w:pStyle w:val="ListParagraph"/>
        <w:numPr>
          <w:ilvl w:val="0"/>
          <w:numId w:val="2"/>
        </w:numPr>
        <w:spacing w:before="40" w:after="40"/>
      </w:pPr>
      <w:r>
        <w:rPr>
          <w:rFonts w:ascii="Arial" w:cs="Arial" w:eastAsia="Arial" w:hAnsi="Arial"/>
          <w:b w:val="false"/>
          <w:bCs w:val="false"/>
          <w:sz w:val="22"/>
          <w:szCs w:val="22"/>
        </w:rPr>
        <w:t xml:space="preserve">Years Already Paid:  5 years  (2020 – 2025)</w:t>
      </w:r>
    </w:p>
    <w:p>
      <w:pPr>
        <w:pStyle w:val="ListParagraph"/>
        <w:numPr>
          <w:ilvl w:val="0"/>
          <w:numId w:val="2"/>
        </w:numPr>
        <w:spacing w:before="40" w:after="40"/>
      </w:pPr>
      <w:r>
        <w:rPr>
          <w:rFonts w:ascii="Arial" w:cs="Arial" w:eastAsia="Arial" w:hAnsi="Arial"/>
          <w:b w:val="false"/>
          <w:bCs w:val="false"/>
          <w:sz w:val="22"/>
          <w:szCs w:val="22"/>
        </w:rPr>
        <w:t xml:space="preserve">Years Remaining:  10 years</w:t>
      </w:r>
    </w:p>
    <w:p>
      <w:pPr>
        <w:spacing w:before="80" w:after="80"/>
      </w:pPr>
      <w:r>
        <w:t xml:space="preserve"/>
      </w:r>
    </w:p>
    <w:p>
      <w:pPr>
        <w:spacing w:before="200" w:after="80"/>
      </w:pPr>
      <w:r>
        <w:rPr>
          <w:rFonts w:ascii="Arial" w:cs="Arial" w:eastAsia="Arial" w:hAnsi="Arial"/>
          <w:b/>
          <w:bCs/>
          <w:color w:val="1F3864"/>
          <w:sz w:val="24"/>
          <w:szCs w:val="24"/>
        </w:rPr>
        <w:t xml:space="preserve">Premium Amount Payable</w:t>
      </w:r>
    </w:p>
    <w:p>
      <w:pPr>
        <w:spacing w:before="60" w:after="60"/>
      </w:pPr>
      <w:r>
        <w:rPr>
          <w:rFonts w:ascii="Arial" w:cs="Arial" w:eastAsia="Arial" w:hAnsi="Arial"/>
          <w:sz w:val="22"/>
          <w:szCs w:val="22"/>
        </w:rPr>
        <w:t xml:space="preserve">The amount still owed by the policy holder until the end of the payment term: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center"/>
            </w:pPr>
            <w:r>
              <w:rPr>
                <w:rFonts w:ascii="Courier New" w:cs="Courier New" w:eastAsia="Courier New" w:hAnsi="Courier New"/>
                <w:b/>
                <w:bCs/>
                <w:color w:val="1F3864"/>
                <w:sz w:val="22"/>
                <w:szCs w:val="22"/>
              </w:rPr>
              <w:t xml:space="preserve">Amount Payable  =  Annual Premium  ×  Remaining Years</w:t>
            </w:r>
          </w:p>
        </w:tc>
      </w:tr>
    </w:tbl>
    <w:p>
      <w:pPr>
        <w:spacing w:before="80" w:after="80"/>
      </w:pPr>
      <w:r>
        <w:t xml:space="preserve"/>
      </w:r>
    </w:p>
    <w:p>
      <w:pPr>
        <w:spacing w:before="60" w:after="60"/>
      </w:pPr>
      <w:r>
        <w:rPr>
          <w:rFonts w:ascii="Arial" w:cs="Arial" w:eastAsia="Arial" w:hAnsi="Arial"/>
          <w:sz w:val="22"/>
          <w:szCs w:val="22"/>
        </w:rPr>
        <w:t xml:space="preserve">Example:  ₹20,000 × 10 years  =  </w:t>
      </w:r>
      <w:r>
        <w:rPr>
          <w:rFonts w:ascii="Arial" w:cs="Arial" w:eastAsia="Arial" w:hAnsi="Arial"/>
          <w:b/>
          <w:bCs/>
          <w:color w:val="2E75B6"/>
          <w:sz w:val="22"/>
          <w:szCs w:val="22"/>
        </w:rPr>
        <w:t xml:space="preserve">₹2,00,000 remaining</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6.  Annualized ROI  (Return on Investment)</w:t>
      </w:r>
    </w:p>
    <w:p>
      <w:pPr>
        <w:spacing w:before="60" w:after="60"/>
      </w:pPr>
      <w:r>
        <w:rPr>
          <w:rFonts w:ascii="Arial" w:cs="Arial" w:eastAsia="Arial" w:hAnsi="Arial"/>
          <w:sz w:val="22"/>
          <w:szCs w:val="22"/>
        </w:rPr>
        <w:t xml:space="preserve">Annualized ROI measures the average return rate per year. It is based on the maturity value, total amount invested, and number of years.</w:t>
      </w:r>
    </w:p>
    <w:p>
      <w:pPr>
        <w:spacing w:before="80" w:after="80"/>
      </w:pPr>
      <w:r>
        <w:t xml:space="preserve"/>
      </w:r>
    </w:p>
    <w:p>
      <w:pPr>
        <w:spacing w:before="200" w:after="80"/>
      </w:pPr>
      <w:r>
        <w:rPr>
          <w:rFonts w:ascii="Arial" w:cs="Arial" w:eastAsia="Arial" w:hAnsi="Arial"/>
          <w:b/>
          <w:bCs/>
          <w:color w:val="1F3864"/>
          <w:sz w:val="24"/>
          <w:szCs w:val="24"/>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center"/>
            </w:pPr>
            <w:r>
              <w:rPr>
                <w:rFonts w:ascii="Courier New" w:cs="Courier New" w:eastAsia="Courier New" w:hAnsi="Courier New"/>
                <w:b/>
                <w:bCs/>
                <w:color w:val="1F3864"/>
                <w:sz w:val="22"/>
                <w:szCs w:val="22"/>
              </w:rPr>
              <w:t xml:space="preserve">ROI (%)  =  ( (Maturity Value − Total Invested)  ÷  Total Invested )  ×  100</w:t>
            </w:r>
          </w:p>
        </w:tc>
      </w:tr>
    </w:tbl>
    <w:p>
      <w:pPr>
        <w:spacing w:before="80" w:after="80"/>
      </w:pPr>
      <w:r>
        <w:t xml:space="preserve"/>
      </w:r>
    </w:p>
    <w:p>
      <w:pPr>
        <w:spacing w:before="200" w:after="80"/>
      </w:pPr>
      <w:r>
        <w:rPr>
          <w:rFonts w:ascii="Arial" w:cs="Arial" w:eastAsia="Arial" w:hAnsi="Arial"/>
          <w:b/>
          <w:bCs/>
          <w:color w:val="1F3864"/>
          <w:sz w:val="24"/>
          <w:szCs w:val="24"/>
        </w:rPr>
        <w:t xml:space="preserve">Worked Example</w:t>
      </w:r>
    </w:p>
    <w:p>
      <w:pPr>
        <w:pStyle w:val="ListParagraph"/>
        <w:numPr>
          <w:ilvl w:val="0"/>
          <w:numId w:val="2"/>
        </w:numPr>
        <w:spacing w:before="40" w:after="40"/>
      </w:pPr>
      <w:r>
        <w:rPr>
          <w:rFonts w:ascii="Arial" w:cs="Arial" w:eastAsia="Arial" w:hAnsi="Arial"/>
          <w:b w:val="false"/>
          <w:bCs w:val="false"/>
          <w:sz w:val="22"/>
          <w:szCs w:val="22"/>
        </w:rPr>
        <w:t xml:space="preserve">Initial investment:  ₹1,00,000</w:t>
      </w:r>
    </w:p>
    <w:p>
      <w:pPr>
        <w:pStyle w:val="ListParagraph"/>
        <w:numPr>
          <w:ilvl w:val="0"/>
          <w:numId w:val="2"/>
        </w:numPr>
        <w:spacing w:before="40" w:after="40"/>
      </w:pPr>
      <w:r>
        <w:rPr>
          <w:rFonts w:ascii="Arial" w:cs="Arial" w:eastAsia="Arial" w:hAnsi="Arial"/>
          <w:b w:val="false"/>
          <w:bCs w:val="false"/>
          <w:sz w:val="22"/>
          <w:szCs w:val="22"/>
        </w:rPr>
        <w:t xml:space="preserve">Maturity value after 3 years:  ₹1,33,100</w:t>
      </w:r>
    </w:p>
    <w:p>
      <w:pPr>
        <w:pStyle w:val="ListParagraph"/>
        <w:numPr>
          <w:ilvl w:val="0"/>
          <w:numId w:val="2"/>
        </w:numPr>
        <w:spacing w:before="40" w:after="40"/>
      </w:pPr>
      <w:r>
        <w:rPr>
          <w:rFonts w:ascii="Arial" w:cs="Arial" w:eastAsia="Arial" w:hAnsi="Arial"/>
          <w:b w:val="false"/>
          <w:bCs w:val="false"/>
          <w:sz w:val="22"/>
          <w:szCs w:val="22"/>
        </w:rPr>
        <w:t xml:space="preserve">Total return:  ₹33,100</w:t>
      </w:r>
    </w:p>
    <w:p>
      <w:pPr>
        <w:spacing w:before="80" w:after="80"/>
      </w:pPr>
      <w:r>
        <w:t xml:space="preserve"/>
      </w:r>
    </w:p>
    <w:p>
      <w:pPr>
        <w:spacing w:before="60" w:after="60"/>
      </w:pPr>
      <w:r>
        <w:rPr>
          <w:rFonts w:ascii="Arial" w:cs="Arial" w:eastAsia="Arial" w:hAnsi="Arial"/>
          <w:sz w:val="22"/>
          <w:szCs w:val="22"/>
        </w:rPr>
        <w:t xml:space="preserve">ROI  =  (33,100 ÷ 1,00,000) × 100  =  </w:t>
      </w:r>
      <w:r>
        <w:rPr>
          <w:rFonts w:ascii="Arial" w:cs="Arial" w:eastAsia="Arial" w:hAnsi="Arial"/>
          <w:b/>
          <w:bCs/>
          <w:color w:val="2E75B6"/>
          <w:sz w:val="22"/>
          <w:szCs w:val="22"/>
        </w:rPr>
        <w:t xml:space="preserve">33.1%</w:t>
      </w:r>
    </w:p>
    <w:p>
      <w:pPr>
        <w:spacing w:before="80" w:after="80"/>
      </w:pPr>
      <w:r>
        <w:t xml:space="preserve"/>
      </w:r>
    </w:p>
    <w:p>
      <w:pPr>
        <w:spacing w:before="200" w:after="80"/>
      </w:pPr>
      <w:r>
        <w:rPr>
          <w:rFonts w:ascii="Arial" w:cs="Arial" w:eastAsia="Arial" w:hAnsi="Arial"/>
          <w:b/>
          <w:bCs/>
          <w:color w:val="1F3864"/>
          <w:sz w:val="24"/>
          <w:szCs w:val="24"/>
        </w:rPr>
        <w:t xml:space="preserve">Year-by-Year Breakdown (10% annual growth)</w:t>
      </w:r>
    </w:p>
    <w:p>
      <w:pPr>
        <w:pStyle w:val="ListParagraph"/>
        <w:numPr>
          <w:ilvl w:val="0"/>
          <w:numId w:val="2"/>
        </w:numPr>
        <w:spacing w:before="40" w:after="40"/>
      </w:pPr>
      <w:r>
        <w:rPr>
          <w:rFonts w:ascii="Arial" w:cs="Arial" w:eastAsia="Arial" w:hAnsi="Arial"/>
          <w:b w:val="false"/>
          <w:bCs w:val="false"/>
          <w:sz w:val="22"/>
          <w:szCs w:val="22"/>
        </w:rPr>
        <w:t xml:space="preserve">Year 1:  ₹1,00,000 × 10%  =  ₹1,10,000</w:t>
      </w:r>
    </w:p>
    <w:p>
      <w:pPr>
        <w:pStyle w:val="ListParagraph"/>
        <w:numPr>
          <w:ilvl w:val="0"/>
          <w:numId w:val="2"/>
        </w:numPr>
        <w:spacing w:before="40" w:after="40"/>
      </w:pPr>
      <w:r>
        <w:rPr>
          <w:rFonts w:ascii="Arial" w:cs="Arial" w:eastAsia="Arial" w:hAnsi="Arial"/>
          <w:b w:val="false"/>
          <w:bCs w:val="false"/>
          <w:sz w:val="22"/>
          <w:szCs w:val="22"/>
        </w:rPr>
        <w:t xml:space="preserve">Year 2:  ₹1,10,000 × 10%  =  ₹1,21,000</w:t>
      </w:r>
    </w:p>
    <w:p>
      <w:pPr>
        <w:pStyle w:val="ListParagraph"/>
        <w:numPr>
          <w:ilvl w:val="0"/>
          <w:numId w:val="2"/>
        </w:numPr>
        <w:spacing w:before="40" w:after="40"/>
      </w:pPr>
      <w:r>
        <w:rPr>
          <w:rFonts w:ascii="Arial" w:cs="Arial" w:eastAsia="Arial" w:hAnsi="Arial"/>
          <w:b w:val="false"/>
          <w:bCs w:val="false"/>
          <w:sz w:val="22"/>
          <w:szCs w:val="22"/>
        </w:rPr>
        <w:t xml:space="preserve">Year 3:  ₹1,21,000 × 10%  =  ₹1,33,100</w:t>
      </w:r>
    </w:p>
    <w:p>
      <w:pPr>
        <w:spacing w:before="80" w:after="80"/>
      </w:pPr>
      <w:r>
        <w:t xml:space="preserve"/>
      </w:r>
    </w:p>
    <w:p>
      <w:pPr>
        <w:pBdr>
          <w:left w:val="single" w:color="2E75B6" w:sz="12" w:space="4"/>
        </w:pBdr>
        <w:shd w:fill="F2F2F2" w:val="clear"/>
        <w:spacing w:before="60" w:after="60"/>
        <w:ind w:left="360"/>
      </w:pPr>
      <w:r>
        <w:rPr>
          <w:rFonts w:ascii="Arial" w:cs="Arial" w:eastAsia="Arial" w:hAnsi="Arial"/>
          <w:i/>
          <w:iCs/>
          <w:color w:val="555555"/>
          <w:sz w:val="20"/>
          <w:szCs w:val="20"/>
        </w:rPr>
        <w:t xml:space="preserve">Interpretation: 10% compounded over 3 years yields a total ROI of 33.1%, not 30%. This is because interest is added to the growing principal each year.</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7.  CAGR  (Compound Annual Growth Rate)</w:t>
      </w:r>
    </w:p>
    <w:p>
      <w:pPr>
        <w:spacing w:before="60" w:after="60"/>
      </w:pPr>
      <w:r>
        <w:rPr>
          <w:rFonts w:ascii="Arial" w:cs="Arial" w:eastAsia="Arial" w:hAnsi="Arial"/>
          <w:sz w:val="22"/>
          <w:szCs w:val="22"/>
        </w:rPr>
        <w:t xml:space="preserve">CAGR measures the average annual growth rate of an investment over a period of time, assuming the investment has been compounding. Unlike simple ROI, CAGR accounts for the time value of money.</w:t>
      </w:r>
    </w:p>
    <w:p>
      <w:pPr>
        <w:spacing w:before="80" w:after="80"/>
      </w:pPr>
      <w:r>
        <w:t xml:space="preserve"/>
      </w:r>
    </w:p>
    <w:p>
      <w:pPr>
        <w:spacing w:before="200" w:after="80"/>
      </w:pPr>
      <w:r>
        <w:rPr>
          <w:rFonts w:ascii="Arial" w:cs="Arial" w:eastAsia="Arial" w:hAnsi="Arial"/>
          <w:b/>
          <w:bCs/>
          <w:color w:val="1F3864"/>
          <w:sz w:val="24"/>
          <w:szCs w:val="24"/>
        </w:rPr>
        <w:t xml:space="preserve">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pPr>
              <w:jc w:val="center"/>
            </w:pPr>
            <w:r>
              <w:rPr>
                <w:rFonts w:ascii="Courier New" w:cs="Courier New" w:eastAsia="Courier New" w:hAnsi="Courier New"/>
                <w:b/>
                <w:bCs/>
                <w:color w:val="1F3864"/>
                <w:sz w:val="22"/>
                <w:szCs w:val="22"/>
              </w:rPr>
              <w:t xml:space="preserve">CAGR (%)  =  ( (Final Value ÷ Initial Value) ^ (1 ÷ N)  −  1 )  ×  100</w:t>
            </w:r>
          </w:p>
        </w:tc>
      </w:tr>
    </w:tbl>
    <w:p>
      <w:pPr>
        <w:spacing w:before="80" w:after="80"/>
      </w:pPr>
      <w:r>
        <w:t xml:space="preserve"/>
      </w:r>
    </w:p>
    <w:p>
      <w:pPr>
        <w:spacing w:before="60" w:after="60"/>
      </w:pPr>
      <w:r>
        <w:rPr>
          <w:rFonts w:ascii="Arial" w:cs="Arial" w:eastAsia="Arial" w:hAnsi="Arial"/>
          <w:sz w:val="22"/>
          <w:szCs w:val="22"/>
        </w:rPr>
        <w:t xml:space="preserve">Where N = number of years.</w:t>
      </w:r>
    </w:p>
    <w:p>
      <w:pPr>
        <w:spacing w:before="80" w:after="80"/>
      </w:pPr>
      <w:r>
        <w:t xml:space="preserve"/>
      </w:r>
    </w:p>
    <w:p>
      <w:pPr>
        <w:spacing w:before="200" w:after="80"/>
      </w:pPr>
      <w:r>
        <w:rPr>
          <w:rFonts w:ascii="Arial" w:cs="Arial" w:eastAsia="Arial" w:hAnsi="Arial"/>
          <w:b/>
          <w:bCs/>
          <w:color w:val="1F3864"/>
          <w:sz w:val="24"/>
          <w:szCs w:val="24"/>
        </w:rPr>
        <w:t xml:space="preserve">Worked Example</w:t>
      </w:r>
    </w:p>
    <w:p>
      <w:pPr>
        <w:pStyle w:val="ListParagraph"/>
        <w:numPr>
          <w:ilvl w:val="0"/>
          <w:numId w:val="2"/>
        </w:numPr>
        <w:spacing w:before="40" w:after="40"/>
      </w:pPr>
      <w:r>
        <w:rPr>
          <w:rFonts w:ascii="Arial" w:cs="Arial" w:eastAsia="Arial" w:hAnsi="Arial"/>
          <w:b w:val="false"/>
          <w:bCs w:val="false"/>
          <w:sz w:val="22"/>
          <w:szCs w:val="22"/>
        </w:rPr>
        <w:t xml:space="preserve">Initial investment:  ₹1,00,000</w:t>
      </w:r>
    </w:p>
    <w:p>
      <w:pPr>
        <w:pStyle w:val="ListParagraph"/>
        <w:numPr>
          <w:ilvl w:val="0"/>
          <w:numId w:val="2"/>
        </w:numPr>
        <w:spacing w:before="40" w:after="40"/>
      </w:pPr>
      <w:r>
        <w:rPr>
          <w:rFonts w:ascii="Arial" w:cs="Arial" w:eastAsia="Arial" w:hAnsi="Arial"/>
          <w:b w:val="false"/>
          <w:bCs w:val="false"/>
          <w:sz w:val="22"/>
          <w:szCs w:val="22"/>
        </w:rPr>
        <w:t xml:space="preserve">Final value:  ₹2,00,000</w:t>
      </w:r>
    </w:p>
    <w:p>
      <w:pPr>
        <w:pStyle w:val="ListParagraph"/>
        <w:numPr>
          <w:ilvl w:val="0"/>
          <w:numId w:val="2"/>
        </w:numPr>
        <w:spacing w:before="40" w:after="40"/>
      </w:pPr>
      <w:r>
        <w:rPr>
          <w:rFonts w:ascii="Arial" w:cs="Arial" w:eastAsia="Arial" w:hAnsi="Arial"/>
          <w:b w:val="false"/>
          <w:bCs w:val="false"/>
          <w:sz w:val="22"/>
          <w:szCs w:val="22"/>
        </w:rPr>
        <w:t xml:space="preserve">Time period:  5 years</w:t>
      </w:r>
    </w:p>
    <w:p>
      <w:pPr>
        <w:spacing w:before="80" w:after="80"/>
      </w:pPr>
      <w:r>
        <w:t xml:space="preserve"/>
      </w:r>
    </w:p>
    <w:p>
      <w:pPr>
        <w:spacing w:before="60" w:after="60"/>
      </w:pPr>
      <w:r>
        <w:rPr>
          <w:rFonts w:ascii="Arial" w:cs="Arial" w:eastAsia="Arial" w:hAnsi="Arial"/>
          <w:sz w:val="22"/>
          <w:szCs w:val="22"/>
        </w:rPr>
        <w:t xml:space="preserve">CAGR  =  (2,00,000 ÷ 1,00,000)^(1/5) − 1  =  2^0.2 − 1  ≈  </w:t>
      </w:r>
      <w:r>
        <w:rPr>
          <w:rFonts w:ascii="Arial" w:cs="Arial" w:eastAsia="Arial" w:hAnsi="Arial"/>
          <w:b/>
          <w:bCs/>
          <w:color w:val="2E75B6"/>
          <w:sz w:val="22"/>
          <w:szCs w:val="22"/>
        </w:rPr>
        <w:t xml:space="preserve">14.87% per year</w:t>
      </w:r>
    </w:p>
    <w:p>
      <w:pPr>
        <w:spacing w:before="80" w:after="80"/>
      </w:pPr>
      <w:r>
        <w:t xml:space="preserve"/>
      </w:r>
    </w:p>
    <w:p>
      <w:pPr>
        <w:spacing w:before="200" w:after="80"/>
      </w:pPr>
      <w:r>
        <w:rPr>
          <w:rFonts w:ascii="Arial" w:cs="Arial" w:eastAsia="Arial" w:hAnsi="Arial"/>
          <w:b/>
          <w:bCs/>
          <w:color w:val="1F3864"/>
          <w:sz w:val="24"/>
          <w:szCs w:val="24"/>
        </w:rPr>
        <w:t xml:space="preserve">ROI vs CAGR — Comparison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Aspect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ROI</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CAGR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Measures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return %</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annual growth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Compounding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assumed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Assumed each year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Time-aware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comparisons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investment analysis</w:t>
            </w:r>
          </w:p>
        </w:tc>
      </w:tr>
    </w:tbl>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8.  Business Rules  &amp;  Scope</w:t>
      </w:r>
    </w:p>
    <w:p>
      <w:pPr>
        <w:spacing w:before="80" w:after="80"/>
      </w:pPr>
      <w:r>
        <w:t xml:space="preserve"/>
      </w:r>
    </w:p>
    <w:p>
      <w:pPr>
        <w:spacing w:before="200" w:after="80"/>
      </w:pPr>
      <w:r>
        <w:rPr>
          <w:rFonts w:ascii="Arial" w:cs="Arial" w:eastAsia="Arial" w:hAnsi="Arial"/>
          <w:b/>
          <w:bCs/>
          <w:color w:val="1F3864"/>
          <w:sz w:val="24"/>
          <w:szCs w:val="24"/>
        </w:rPr>
        <w:t xml:space="preserve">Include</w:t>
      </w:r>
    </w:p>
    <w:p>
      <w:pPr>
        <w:pStyle w:val="ListParagraph"/>
        <w:numPr>
          <w:ilvl w:val="0"/>
          <w:numId w:val="2"/>
        </w:numPr>
        <w:spacing w:before="40" w:after="40"/>
      </w:pPr>
      <w:r>
        <w:rPr>
          <w:rFonts w:ascii="Arial" w:cs="Arial" w:eastAsia="Arial" w:hAnsi="Arial"/>
          <w:b/>
          <w:bCs/>
          <w:sz w:val="22"/>
          <w:szCs w:val="22"/>
        </w:rPr>
        <w:t xml:space="preserve">Policies with status = ACTIVE only</w:t>
      </w:r>
    </w:p>
    <w:p>
      <w:pPr>
        <w:pStyle w:val="ListParagraph"/>
        <w:numPr>
          <w:ilvl w:val="0"/>
          <w:numId w:val="2"/>
        </w:numPr>
        <w:spacing w:before="40" w:after="40"/>
      </w:pPr>
      <w:r>
        <w:rPr>
          <w:rFonts w:ascii="Arial" w:cs="Arial" w:eastAsia="Arial" w:hAnsi="Arial"/>
          <w:b/>
          <w:bCs/>
          <w:sz w:val="22"/>
          <w:szCs w:val="22"/>
        </w:rPr>
        <w:t xml:space="preserve">All frequency types (Monthly / Quarterly / Half-Yearly / Yearly)</w:t>
      </w:r>
    </w:p>
    <w:p>
      <w:pPr>
        <w:pStyle w:val="ListParagraph"/>
        <w:numPr>
          <w:ilvl w:val="0"/>
          <w:numId w:val="2"/>
        </w:numPr>
        <w:spacing w:before="40" w:after="40"/>
      </w:pPr>
      <w:r>
        <w:rPr>
          <w:rFonts w:ascii="Arial" w:cs="Arial" w:eastAsia="Arial" w:hAnsi="Arial"/>
          <w:b/>
          <w:bCs/>
          <w:sz w:val="22"/>
          <w:szCs w:val="22"/>
        </w:rPr>
        <w:t xml:space="preserve">All policy types present in the return rate matrix</w:t>
      </w:r>
    </w:p>
    <w:p>
      <w:pPr>
        <w:spacing w:before="80" w:after="80"/>
      </w:pPr>
      <w:r>
        <w:t xml:space="preserve"/>
      </w:r>
    </w:p>
    <w:p>
      <w:pPr>
        <w:spacing w:before="200" w:after="80"/>
      </w:pPr>
      <w:r>
        <w:rPr>
          <w:rFonts w:ascii="Arial" w:cs="Arial" w:eastAsia="Arial" w:hAnsi="Arial"/>
          <w:b/>
          <w:bCs/>
          <w:color w:val="1F3864"/>
          <w:sz w:val="24"/>
          <w:szCs w:val="24"/>
        </w:rPr>
        <w:t xml:space="preserve">Exclude</w:t>
      </w:r>
    </w:p>
    <w:p>
      <w:pPr>
        <w:pStyle w:val="ListParagraph"/>
        <w:numPr>
          <w:ilvl w:val="0"/>
          <w:numId w:val="2"/>
        </w:numPr>
        <w:spacing w:before="40" w:after="40"/>
      </w:pPr>
      <w:r>
        <w:rPr>
          <w:rFonts w:ascii="Arial" w:cs="Arial" w:eastAsia="Arial" w:hAnsi="Arial"/>
          <w:b w:val="false"/>
          <w:bCs w:val="false"/>
          <w:sz w:val="22"/>
          <w:szCs w:val="22"/>
        </w:rPr>
        <w:t xml:space="preserve">Policies that are lapsed, surrendered, or pending</w:t>
      </w:r>
    </w:p>
    <w:p>
      <w:pPr>
        <w:pStyle w:val="ListParagraph"/>
        <w:numPr>
          <w:ilvl w:val="0"/>
          <w:numId w:val="2"/>
        </w:numPr>
        <w:spacing w:before="40" w:after="40"/>
      </w:pPr>
      <w:r>
        <w:rPr>
          <w:rFonts w:ascii="Arial" w:cs="Arial" w:eastAsia="Arial" w:hAnsi="Arial"/>
          <w:b w:val="false"/>
          <w:bCs w:val="false"/>
          <w:sz w:val="22"/>
          <w:szCs w:val="22"/>
        </w:rPr>
        <w:t xml:space="preserve">Loan Against Policy data — do NOT include loan amounts or loan interest</w:t>
      </w:r>
    </w:p>
    <w:p>
      <w:pPr>
        <w:pStyle w:val="ListParagraph"/>
        <w:numPr>
          <w:ilvl w:val="0"/>
          <w:numId w:val="2"/>
        </w:numPr>
        <w:spacing w:before="40" w:after="40"/>
      </w:pPr>
      <w:r>
        <w:rPr>
          <w:rFonts w:ascii="Arial" w:cs="Arial" w:eastAsia="Arial" w:hAnsi="Arial"/>
          <w:b w:val="false"/>
          <w:bCs w:val="false"/>
          <w:sz w:val="22"/>
          <w:szCs w:val="22"/>
        </w:rPr>
        <w:t xml:space="preserve">Claim data — settled, rejected, or pending claims are out of scope</w:t>
      </w:r>
    </w:p>
    <w:p>
      <w:pPr>
        <w:spacing w:before="80" w:after="80"/>
      </w:pPr>
      <w:r>
        <w:t xml:space="preserve"/>
      </w:r>
    </w:p>
    <w:p>
      <w:pPr>
        <w:pBdr>
          <w:left w:val="single" w:color="2E75B6" w:sz="12" w:space="4"/>
        </w:pBdr>
        <w:shd w:fill="F2F2F2" w:val="clear"/>
        <w:spacing w:before="60" w:after="60"/>
        <w:ind w:left="360"/>
      </w:pPr>
      <w:r>
        <w:rPr>
          <w:rFonts w:ascii="Arial" w:cs="Arial" w:eastAsia="Arial" w:hAnsi="Arial"/>
          <w:i/>
          <w:iCs/>
          <w:color w:val="555555"/>
          <w:sz w:val="20"/>
          <w:szCs w:val="20"/>
        </w:rPr>
        <w:t xml:space="preserve">Client instruction: Only consider policy status = ACTIVE. Do not work on loan information or claim data for any of the premium or maturity calculations.</w:t>
      </w:r>
    </w:p>
    <w:p>
      <w:pPr>
        <w:spacing w:before="80" w:after="80"/>
      </w:pPr>
      <w:r>
        <w:t xml:space="preserve"/>
      </w:r>
    </w:p>
    <w:p>
      <w:pPr>
        <w:pStyle w:val="Heading2"/>
        <w:pBdr>
          <w:bottom w:val="single" w:color="2E75B6" w:sz="6" w:space="1"/>
        </w:pBdr>
        <w:spacing w:before="240" w:after="120"/>
      </w:pPr>
      <w:r>
        <w:rPr>
          <w:rFonts w:ascii="Arial" w:cs="Arial" w:eastAsia="Arial" w:hAnsi="Arial"/>
          <w:b/>
          <w:bCs/>
          <w:color w:val="2E75B6"/>
          <w:sz w:val="26"/>
          <w:szCs w:val="26"/>
        </w:rPr>
        <w:t xml:space="preserve">Summary — All Calculations at a Glance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Formula / Logic</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Total Premium Amount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charge for the policy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type, sum assured, age, riders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Total Annual Premium</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 frequency multiplier (Switch statement)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 ×12, Quarterly ×4, Half-Yearly ×2, Yearly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Total Premium Paid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Premium × Years Paid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year to current year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Maturity Amount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 Rate × Premium × Tenure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policies only; based on policy type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Payment Duration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years of premium payment required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Years paid vs. years remaining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Amount Payable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Annual Premium × Remaining Years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owed until end of term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Annualized ROI</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((Maturity − Invested) ÷ Invested) × 100</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 return over the period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CAGR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(FV÷IV)^(1÷N) − 1</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Average annual % growth, compounded</w:t>
            </w:r>
          </w:p>
        </w:tc>
      </w:tr>
    </w:tbl>
    <w:p>
      <w:pPr>
        <w:spacing w:before="80" w:after="80"/>
      </w:pPr>
      <w:r>
        <w:t xml:space="preserve"/>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2026-03-28T00:12:03.372Z</dcterms:created>
  <dcterms:modified xsi:type="dcterms:W3CDTF">2026-03-28T00:12:03.373Z</dcterms:modified>
</cp:coreProperties>
</file>

<file path=docProps/custom.xml><?xml version="1.0" encoding="utf-8"?>
<Properties xmlns="http://schemas.openxmlformats.org/officeDocument/2006/custom-properties" xmlns:vt="http://schemas.openxmlformats.org/officeDocument/2006/docPropsVTypes"/>
</file>