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6lqcl123jfwc" w:id="0"/>
      <w:bookmarkEnd w:id="0"/>
      <w:r w:rsidDel="00000000" w:rsidR="00000000" w:rsidRPr="00000000">
        <w:rPr>
          <w:b w:val="1"/>
          <w:color w:val="000000"/>
          <w:sz w:val="26"/>
          <w:szCs w:val="26"/>
          <w:rtl w:val="0"/>
        </w:rPr>
        <w:t xml:space="preserve">Steps to Obtain an OpenAI API Key</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b w:val="1"/>
          <w:rtl w:val="0"/>
        </w:rPr>
        <w:t xml:space="preserve">Sign Up on OpenAI's Website:</w:t>
      </w:r>
    </w:p>
    <w:p w:rsidR="00000000" w:rsidDel="00000000" w:rsidP="00000000" w:rsidRDefault="00000000" w:rsidRPr="00000000" w14:paraId="00000003">
      <w:pPr>
        <w:numPr>
          <w:ilvl w:val="1"/>
          <w:numId w:val="2"/>
        </w:numPr>
        <w:spacing w:after="0" w:afterAutospacing="0" w:before="0" w:beforeAutospacing="0" w:lineRule="auto"/>
        <w:ind w:left="1440" w:hanging="360"/>
      </w:pPr>
      <w:r w:rsidDel="00000000" w:rsidR="00000000" w:rsidRPr="00000000">
        <w:rPr>
          <w:rtl w:val="0"/>
        </w:rPr>
        <w:t xml:space="preserve">Go to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OpenAI website</w:t>
        </w:r>
      </w:hyperlink>
      <w:r w:rsidDel="00000000" w:rsidR="00000000" w:rsidRPr="00000000">
        <w:rPr>
          <w:rtl w:val="0"/>
        </w:rPr>
        <w:t xml:space="preserve"> and sign up for an account.</w:t>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b w:val="1"/>
          <w:rtl w:val="0"/>
        </w:rPr>
        <w:t xml:space="preserve">Choose a Pricing Plan:</w:t>
      </w:r>
    </w:p>
    <w:p w:rsidR="00000000" w:rsidDel="00000000" w:rsidP="00000000" w:rsidRDefault="00000000" w:rsidRPr="00000000" w14:paraId="00000005">
      <w:pPr>
        <w:numPr>
          <w:ilvl w:val="1"/>
          <w:numId w:val="2"/>
        </w:numPr>
        <w:spacing w:after="0" w:afterAutospacing="0" w:before="0" w:beforeAutospacing="0" w:lineRule="auto"/>
        <w:ind w:left="1440" w:hanging="360"/>
      </w:pPr>
      <w:r w:rsidDel="00000000" w:rsidR="00000000" w:rsidRPr="00000000">
        <w:rPr>
          <w:rtl w:val="0"/>
        </w:rPr>
        <w:t xml:space="preserve">OpenAI offers several pricing plans, including a free tier with limited usage.</w:t>
      </w:r>
    </w:p>
    <w:p w:rsidR="00000000" w:rsidDel="00000000" w:rsidP="00000000" w:rsidRDefault="00000000" w:rsidRPr="00000000" w14:paraId="00000006">
      <w:pPr>
        <w:numPr>
          <w:ilvl w:val="1"/>
          <w:numId w:val="2"/>
        </w:numPr>
        <w:spacing w:after="0" w:afterAutospacing="0" w:before="0" w:beforeAutospacing="0" w:lineRule="auto"/>
        <w:ind w:left="1440" w:hanging="360"/>
      </w:pPr>
      <w:r w:rsidDel="00000000" w:rsidR="00000000" w:rsidRPr="00000000">
        <w:rPr>
          <w:rtl w:val="0"/>
        </w:rPr>
        <w:t xml:space="preserve">Review the available pricing options on the</w:t>
      </w:r>
      <w:hyperlink r:id="rId8">
        <w:r w:rsidDel="00000000" w:rsidR="00000000" w:rsidRPr="00000000">
          <w:rPr>
            <w:rtl w:val="0"/>
          </w:rPr>
          <w:t xml:space="preserve"> </w:t>
        </w:r>
      </w:hyperlink>
      <w:hyperlink r:id="rId9">
        <w:r w:rsidDel="00000000" w:rsidR="00000000" w:rsidRPr="00000000">
          <w:rPr>
            <w:color w:val="1155cc"/>
            <w:u w:val="single"/>
            <w:rtl w:val="0"/>
          </w:rPr>
          <w:t xml:space="preserve">OpenAI pricing page</w:t>
        </w:r>
      </w:hyperlink>
      <w:r w:rsidDel="00000000" w:rsidR="00000000" w:rsidRPr="00000000">
        <w:rPr>
          <w:rtl w:val="0"/>
        </w:rPr>
        <w:t xml:space="preserve">.</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Generate an API Key:</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rtl w:val="0"/>
        </w:rPr>
        <w:t xml:space="preserve">Once you have an account and have selected a pricing plan, you can generate an API key from your OpenAI dashboard.</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rtl w:val="0"/>
        </w:rPr>
        <w:t xml:space="preserve">Navigate to the API section, and follow the prompts to create a new API key.</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Billing Information:</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You must provide billing information even if you are using the free tier.</w:t>
      </w:r>
    </w:p>
    <w:p w:rsidR="00000000" w:rsidDel="00000000" w:rsidP="00000000" w:rsidRDefault="00000000" w:rsidRPr="00000000" w14:paraId="0000000C">
      <w:pPr>
        <w:numPr>
          <w:ilvl w:val="1"/>
          <w:numId w:val="2"/>
        </w:numPr>
        <w:spacing w:after="240" w:before="0" w:beforeAutospacing="0" w:lineRule="auto"/>
        <w:ind w:left="1440" w:hanging="360"/>
      </w:pPr>
      <w:r w:rsidDel="00000000" w:rsidR="00000000" w:rsidRPr="00000000">
        <w:rPr>
          <w:rtl w:val="0"/>
        </w:rPr>
        <w:t xml:space="preserve">Ensure you are aware of the usage limits and costs associated with your plan to avoid unexpected charges.</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ayfiwkp0ce7b" w:id="1"/>
      <w:bookmarkEnd w:id="1"/>
      <w:r w:rsidDel="00000000" w:rsidR="00000000" w:rsidRPr="00000000">
        <w:rPr>
          <w:b w:val="1"/>
          <w:color w:val="000000"/>
          <w:sz w:val="26"/>
          <w:szCs w:val="26"/>
          <w:rtl w:val="0"/>
        </w:rPr>
        <w:t xml:space="preserve">Pricing Considerations</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b w:val="1"/>
          <w:rtl w:val="0"/>
        </w:rPr>
        <w:t xml:space="preserve">Free Tier:</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The free tier typically offers a limited number of API requests per month. This can be useful for small projects or initial testing.</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Check the specifics of the free tier, as the number of free requests and the available models may vary.</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Pay-as-You-Go:</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This model charges based on the number of tokens processed by the API. Tokens are chunks of words; for example, "ChatGPT is great!" has six tokens.</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tl w:val="0"/>
        </w:rPr>
        <w:t xml:space="preserve">The cost per token varies depending on the model (e.g., GPT-3.5 is cheaper than GPT-4).</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Subscription Plans:</w:t>
      </w:r>
    </w:p>
    <w:p w:rsidR="00000000" w:rsidDel="00000000" w:rsidP="00000000" w:rsidRDefault="00000000" w:rsidRPr="00000000" w14:paraId="00000015">
      <w:pPr>
        <w:numPr>
          <w:ilvl w:val="1"/>
          <w:numId w:val="3"/>
        </w:numPr>
        <w:spacing w:after="240" w:before="0" w:beforeAutospacing="0" w:lineRule="auto"/>
        <w:ind w:left="1440" w:hanging="360"/>
      </w:pPr>
      <w:r w:rsidDel="00000000" w:rsidR="00000000" w:rsidRPr="00000000">
        <w:rPr>
          <w:rtl w:val="0"/>
        </w:rPr>
        <w:t xml:space="preserve">OpenAI may offer subscription plans for more consistent and predictable usage patterns. These plans might come with a fixed number of requests or tokens per month.</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pox4tlkmrtzd" w:id="2"/>
      <w:bookmarkEnd w:id="2"/>
      <w:r w:rsidDel="00000000" w:rsidR="00000000" w:rsidRPr="00000000">
        <w:rPr>
          <w:b w:val="1"/>
          <w:color w:val="000000"/>
          <w:sz w:val="26"/>
          <w:szCs w:val="26"/>
          <w:rtl w:val="0"/>
        </w:rPr>
        <w:t xml:space="preserve">Example Cost Breakdown</w:t>
      </w:r>
    </w:p>
    <w:p w:rsidR="00000000" w:rsidDel="00000000" w:rsidP="00000000" w:rsidRDefault="00000000" w:rsidRPr="00000000" w14:paraId="00000017">
      <w:pPr>
        <w:spacing w:after="240" w:before="240" w:lineRule="auto"/>
        <w:rPr/>
      </w:pPr>
      <w:r w:rsidDel="00000000" w:rsidR="00000000" w:rsidRPr="00000000">
        <w:rPr>
          <w:rtl w:val="0"/>
        </w:rPr>
        <w:t xml:space="preserve">For illustration, let's consider the pricing for GPT-3.5 (note that actual prices may vary and should be checked on OpenAI's website):</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b w:val="1"/>
          <w:rtl w:val="0"/>
        </w:rPr>
        <w:t xml:space="preserve">Free Tier:</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tl w:val="0"/>
        </w:rPr>
        <w:t xml:space="preserve">Limited to 100,000 tokens per month (example value, check current limits on OpenAI's site).</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Pay-as-You-Go:</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rtl w:val="0"/>
        </w:rPr>
        <w:t xml:space="preserve">$0.02 per 1,000 tokens for the GPT-3.5 model.</w:t>
      </w:r>
    </w:p>
    <w:p w:rsidR="00000000" w:rsidDel="00000000" w:rsidP="00000000" w:rsidRDefault="00000000" w:rsidRPr="00000000" w14:paraId="0000001C">
      <w:pPr>
        <w:numPr>
          <w:ilvl w:val="1"/>
          <w:numId w:val="1"/>
        </w:numPr>
        <w:spacing w:after="240" w:before="0" w:beforeAutospacing="0" w:lineRule="auto"/>
        <w:ind w:left="1440" w:hanging="360"/>
      </w:pPr>
      <w:r w:rsidDel="00000000" w:rsidR="00000000" w:rsidRPr="00000000">
        <w:rPr>
          <w:rtl w:val="0"/>
        </w:rPr>
        <w:t xml:space="preserve">If you process 1 million tokens in a month, the cost would be approximately $20.</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tbzmo8f5lmxk" w:id="3"/>
      <w:bookmarkEnd w:id="3"/>
      <w:r w:rsidDel="00000000" w:rsidR="00000000" w:rsidRPr="00000000">
        <w:rPr>
          <w:b w:val="1"/>
          <w:color w:val="000000"/>
          <w:sz w:val="26"/>
          <w:szCs w:val="26"/>
          <w:rtl w:val="0"/>
        </w:rPr>
        <w:t xml:space="preserve">Usage Management</w:t>
      </w:r>
    </w:p>
    <w:p w:rsidR="00000000" w:rsidDel="00000000" w:rsidP="00000000" w:rsidRDefault="00000000" w:rsidRPr="00000000" w14:paraId="0000001E">
      <w:pPr>
        <w:numPr>
          <w:ilvl w:val="0"/>
          <w:numId w:val="4"/>
        </w:numPr>
        <w:spacing w:after="0" w:afterAutospacing="0" w:before="240" w:lineRule="auto"/>
        <w:ind w:left="720" w:hanging="360"/>
      </w:pPr>
      <w:r w:rsidDel="00000000" w:rsidR="00000000" w:rsidRPr="00000000">
        <w:rPr>
          <w:b w:val="1"/>
          <w:rtl w:val="0"/>
        </w:rPr>
        <w:t xml:space="preserve">Monitoring Usage:</w:t>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rtl w:val="0"/>
        </w:rPr>
        <w:t xml:space="preserve">Keep track of your API usage through the OpenAI dashboard to avoid unexpected charges.</w:t>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tl w:val="0"/>
        </w:rPr>
        <w:t xml:space="preserve">Set usage limits and alerts if available to manage costs effectively.</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b w:val="1"/>
          <w:rtl w:val="0"/>
        </w:rPr>
        <w:t xml:space="preserve">Optimizing Requests:</w:t>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tl w:val="0"/>
        </w:rPr>
        <w:t xml:space="preserve">Structure your queries to be as efficient as possible, minimizing the number of tokens processed.</w:t>
      </w:r>
    </w:p>
    <w:p w:rsidR="00000000" w:rsidDel="00000000" w:rsidP="00000000" w:rsidRDefault="00000000" w:rsidRPr="00000000" w14:paraId="00000023">
      <w:pPr>
        <w:numPr>
          <w:ilvl w:val="1"/>
          <w:numId w:val="4"/>
        </w:numPr>
        <w:spacing w:after="240" w:before="0" w:beforeAutospacing="0" w:lineRule="auto"/>
        <w:ind w:left="1440" w:hanging="360"/>
      </w:pPr>
      <w:r w:rsidDel="00000000" w:rsidR="00000000" w:rsidRPr="00000000">
        <w:rPr>
          <w:rtl w:val="0"/>
        </w:rPr>
        <w:t xml:space="preserve">Use concise prompts and responses to reduce token consumption.</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8tz9j2b68ws" w:id="4"/>
      <w:bookmarkEnd w:id="4"/>
      <w:r w:rsidDel="00000000" w:rsidR="00000000" w:rsidRPr="00000000">
        <w:rPr>
          <w:b w:val="1"/>
          <w:color w:val="000000"/>
          <w:sz w:val="26"/>
          <w:szCs w:val="26"/>
          <w:rtl w:val="0"/>
        </w:rPr>
        <w:t xml:space="preserve">Conclusion</w:t>
      </w:r>
    </w:p>
    <w:p w:rsidR="00000000" w:rsidDel="00000000" w:rsidP="00000000" w:rsidRDefault="00000000" w:rsidRPr="00000000" w14:paraId="00000025">
      <w:pPr>
        <w:spacing w:after="240" w:before="240" w:lineRule="auto"/>
        <w:rPr/>
      </w:pPr>
      <w:r w:rsidDel="00000000" w:rsidR="00000000" w:rsidRPr="00000000">
        <w:rPr>
          <w:rtl w:val="0"/>
        </w:rPr>
        <w:t xml:space="preserve">Using the OpenAI API involves some cost, which varies based on your usage and the models you choose. Carefully review the pricing plans and manage your usage to stay within your budget. The free tier can be a good starting point for small projects and initial testing, but for more extensive usage, be prepared for potential costs.</w:t>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ai.com/pricing" TargetMode="External"/><Relationship Id="rId5" Type="http://schemas.openxmlformats.org/officeDocument/2006/relationships/styles" Target="styles.xml"/><Relationship Id="rId6" Type="http://schemas.openxmlformats.org/officeDocument/2006/relationships/hyperlink" Target="https://www.openai.com/" TargetMode="External"/><Relationship Id="rId7" Type="http://schemas.openxmlformats.org/officeDocument/2006/relationships/hyperlink" Target="https://www.openai.com/" TargetMode="External"/><Relationship Id="rId8" Type="http://schemas.openxmlformats.org/officeDocument/2006/relationships/hyperlink" Target="https://openai.com/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