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72720" w:rsidRDefault="00000000">
      <w:pPr>
        <w:spacing w:before="20" w:after="4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Private Equity Investment Memo</w:t>
      </w:r>
    </w:p>
    <w:p w14:paraId="00000002" w14:textId="77777777" w:rsidR="00572720" w:rsidRDefault="00000000">
      <w:pPr>
        <w:spacing w:before="20" w:after="4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Thoma Bravo </w:t>
      </w:r>
    </w:p>
    <w:p w14:paraId="00000003" w14:textId="77777777" w:rsidR="00572720" w:rsidRDefault="00000000">
      <w:pPr>
        <w:spacing w:before="20" w:after="4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Acquisitions of Proof Point, Inc.</w:t>
      </w:r>
    </w:p>
    <w:p w14:paraId="00000004" w14:textId="77777777" w:rsidR="00572720" w:rsidRDefault="00000000">
      <w:pPr>
        <w:spacing w:before="20" w:after="4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Date - October 2025</w:t>
      </w:r>
    </w:p>
    <w:p w14:paraId="00000005" w14:textId="77777777" w:rsidR="00572720" w:rsidRDefault="00572720">
      <w:pPr>
        <w:pStyle w:val="Heading2"/>
        <w:keepNext w:val="0"/>
        <w:keepLines w:val="0"/>
        <w:spacing w:before="20" w:after="40" w:line="240" w:lineRule="auto"/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ut69er4ri9gz" w:colFirst="0" w:colLast="0"/>
      <w:bookmarkEnd w:id="0"/>
    </w:p>
    <w:p w14:paraId="00000006" w14:textId="77777777" w:rsidR="00572720" w:rsidRDefault="00000000">
      <w:pPr>
        <w:pStyle w:val="Heading2"/>
        <w:keepNext w:val="0"/>
        <w:keepLines w:val="0"/>
        <w:spacing w:before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" w:name="_6dmja0fpeex2" w:colFirst="0" w:colLast="0"/>
      <w:bookmarkEnd w:id="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 Executive Summary</w:t>
      </w:r>
    </w:p>
    <w:p w14:paraId="00000007" w14:textId="77777777" w:rsidR="00572720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Proofpoint, Inc. is a leading cybersecurity and compliance software provider focused on protecting organizations from advanced threats, phishing, and data loss. The company benefits from highly recurring subscription-based revenue, strong customer retention, and mission-critical software deployment across enterprise customers.</w:t>
      </w:r>
    </w:p>
    <w:p w14:paraId="00000008" w14:textId="77777777" w:rsidR="00572720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Thoma Bravo proposes to acquire Proofpoint in a leveraged buyout transaction for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value of $2,891.7 million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representing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9.0x LTM EBITDA multiple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The transaction will be financed with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54% debt and 46% equity</w:t>
      </w:r>
      <w:r>
        <w:rPr>
          <w:rFonts w:ascii="Times New Roman" w:eastAsia="Times New Roman" w:hAnsi="Times New Roman" w:cs="Times New Roman"/>
          <w:sz w:val="24"/>
          <w:szCs w:val="24"/>
        </w:rPr>
        <w:t>, allowing Thoma Bravo to generate attractive equity returns through revenue growth, EBITDA margin expansion, and rapid deleveraging.</w:t>
      </w:r>
    </w:p>
    <w:p w14:paraId="00000009" w14:textId="77777777" w:rsidR="00572720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 base-case assumptions and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8.0x exit EBITDA multiple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the investment is expected to generate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IRR of approximately 27%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MOIC of approximately 3.3x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over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five-year holding period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A" w14:textId="77777777" w:rsidR="00572720" w:rsidRDefault="00000000">
      <w:pPr>
        <w:pStyle w:val="Heading2"/>
        <w:keepNext w:val="0"/>
        <w:keepLines w:val="0"/>
        <w:spacing w:before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" w:name="_1nwlmt9wu7t0" w:colFirst="0" w:colLast="0"/>
      <w:bookmarkEnd w:id="2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 Business Overview</w:t>
      </w:r>
    </w:p>
    <w:p w14:paraId="0000000B" w14:textId="77777777" w:rsidR="00572720" w:rsidRDefault="0000000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Proofpoint provides cloud-based cybersecurity, email protection, compliance, and data loss prevention solutions to enterprises globally. Revenue is primarily subscription-based, supported by long-term customer contracts and low churn.</w:t>
      </w:r>
    </w:p>
    <w:p w14:paraId="0000000C" w14:textId="77777777" w:rsidR="00572720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Key strengths include:</w:t>
      </w:r>
    </w:p>
    <w:p w14:paraId="0000000D" w14:textId="59938110" w:rsidR="00572720" w:rsidRDefault="00000000">
      <w:pPr>
        <w:numPr>
          <w:ilvl w:val="0"/>
          <w:numId w:val="4"/>
        </w:num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proportion of recurring annual revenue (ARR)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E" w14:textId="77777777" w:rsidR="00572720" w:rsidRDefault="00000000">
      <w:pPr>
        <w:numPr>
          <w:ilvl w:val="0"/>
          <w:numId w:val="4"/>
        </w:num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Strong customer retention and net revenue retention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572720" w:rsidRDefault="00000000">
      <w:pPr>
        <w:numPr>
          <w:ilvl w:val="0"/>
          <w:numId w:val="4"/>
        </w:num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Mission-critical cybersecurity products embedded in customer workflows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10" w14:textId="77777777" w:rsidR="00572720" w:rsidRDefault="00000000">
      <w:pPr>
        <w:numPr>
          <w:ilvl w:val="0"/>
          <w:numId w:val="4"/>
        </w:num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Scalable SaaS operating model with operating leverage potential</w:t>
      </w:r>
    </w:p>
    <w:p w14:paraId="00000011" w14:textId="77777777" w:rsidR="00572720" w:rsidRDefault="00000000">
      <w:pPr>
        <w:spacing w:before="240" w:after="12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 Investment Thesis</w:t>
      </w:r>
    </w:p>
    <w:p w14:paraId="00000012" w14:textId="77777777" w:rsidR="00572720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Thoma Bravo’s value creation strategy is centered on the following core levers:</w:t>
      </w:r>
    </w:p>
    <w:p w14:paraId="00000013" w14:textId="77777777" w:rsidR="00572720" w:rsidRDefault="00000000" w:rsidP="00967650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ARR Growth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Expansion through upselling advanced security modules, cross-selling adjacent products, and continued enterprise customer adoption.</w:t>
      </w:r>
    </w:p>
    <w:p w14:paraId="00000014" w14:textId="77777777" w:rsidR="00572720" w:rsidRDefault="00000000" w:rsidP="00967650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 Margin Expansion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Improved cloud infrastructure efficiency, enhanced sales productivity, and streamlined customer onboarding processes are expected to drive EBITDA margin expansion.</w:t>
      </w:r>
    </w:p>
    <w:p w14:paraId="00000015" w14:textId="77777777" w:rsidR="00572720" w:rsidRDefault="00000000" w:rsidP="00967650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 Cash Flow Generation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Strong free cash flow generation enables rapid debt amortization and balance sheet deleveraging.</w:t>
      </w:r>
    </w:p>
    <w:p w14:paraId="00000016" w14:textId="77777777" w:rsidR="00572720" w:rsidRDefault="00000000" w:rsidP="00967650">
      <w:pPr>
        <w:spacing w:before="240"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 Valuation Upside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Improved growth profile and margin structure support an attractive exit valuation, even under conservative multiple assumptions.</w:t>
      </w:r>
    </w:p>
    <w:p w14:paraId="00000017" w14:textId="77777777" w:rsidR="00572720" w:rsidRDefault="00000000">
      <w:pPr>
        <w:pStyle w:val="Heading2"/>
        <w:keepNext w:val="0"/>
        <w:keepLines w:val="0"/>
        <w:spacing w:before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" w:name="_rngxu6x8kduq" w:colFirst="0" w:colLast="0"/>
      <w:bookmarkEnd w:id="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4. Transaction Structure</w:t>
      </w:r>
    </w:p>
    <w:p w14:paraId="00000018" w14:textId="77777777" w:rsidR="00572720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acquisition will be funded through a balanced capital structure consisting of:</w:t>
      </w:r>
    </w:p>
    <w:p w14:paraId="00000019" w14:textId="77777777" w:rsidR="00572720" w:rsidRDefault="00000000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Senior secured term loans totaling approximately $1,134.0 million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1A" w14:textId="77777777" w:rsidR="00572720" w:rsidRDefault="00000000">
      <w:pPr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Subordinated or unsecured debt of approximately $425.3 million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1B" w14:textId="77777777" w:rsidR="00572720" w:rsidRDefault="00000000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Sponsor equity contribution of approximately $1,332.5 million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1C" w14:textId="77777777" w:rsidR="00572720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Total debt at close represents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4.95x LTM EBITDA</w:t>
      </w:r>
      <w:r>
        <w:rPr>
          <w:rFonts w:ascii="Times New Roman" w:eastAsia="Times New Roman" w:hAnsi="Times New Roman" w:cs="Times New Roman"/>
          <w:sz w:val="24"/>
          <w:szCs w:val="24"/>
        </w:rPr>
        <w:t>, providing leverage while maintaining financial flexibility.</w:t>
      </w:r>
    </w:p>
    <w:p w14:paraId="0000001D" w14:textId="77777777" w:rsidR="00572720" w:rsidRDefault="00572720">
      <w:pPr>
        <w:spacing w:before="20"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572720" w:rsidRDefault="00000000">
      <w:pPr>
        <w:pStyle w:val="Heading2"/>
        <w:keepNext w:val="0"/>
        <w:keepLines w:val="0"/>
        <w:spacing w:before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4" w:name="_r4pdxrdslayd" w:colFirst="0" w:colLast="0"/>
      <w:bookmarkEnd w:id="4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5. Financial Outlook</w:t>
      </w:r>
    </w:p>
    <w:p w14:paraId="0000001F" w14:textId="77777777" w:rsidR="00572720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 the base-case operating plan, Proofpoint is projected to:</w:t>
      </w:r>
    </w:p>
    <w:p w14:paraId="00000020" w14:textId="77777777" w:rsidR="00572720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Grow revenue through continued enterprise customer expansion and strong cybersecurity demand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1" w14:textId="77777777" w:rsidR="00572720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Increase EBITDA margins from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30% at entry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higher levels through operating leverage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22" w14:textId="77777777" w:rsidR="00572720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significant free cash flow, supporting consistent debt paydown over the investment period</w:t>
      </w:r>
    </w:p>
    <w:p w14:paraId="00000023" w14:textId="77777777" w:rsidR="00572720" w:rsidRDefault="00572720">
      <w:pPr>
        <w:spacing w:before="20"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4" w14:textId="77777777" w:rsidR="00572720" w:rsidRDefault="00000000">
      <w:pPr>
        <w:pStyle w:val="Heading2"/>
        <w:keepNext w:val="0"/>
        <w:keepLines w:val="0"/>
        <w:spacing w:before="24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5" w:name="_m6bsr3uc8h3j" w:colFirst="0" w:colLast="0"/>
      <w:bookmarkEnd w:id="5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 Returns Analysis</w:t>
      </w:r>
    </w:p>
    <w:p w14:paraId="00000025" w14:textId="77777777" w:rsidR="00572720" w:rsidRDefault="00572720">
      <w:pPr>
        <w:jc w:val="both"/>
      </w:pPr>
    </w:p>
    <w:p w14:paraId="00000026" w14:textId="77777777" w:rsidR="00572720" w:rsidRDefault="00000000">
      <w:pPr>
        <w:spacing w:after="1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Base-case assumptions:</w:t>
      </w:r>
    </w:p>
    <w:p w14:paraId="00000027" w14:textId="77777777" w:rsidR="00572720" w:rsidRDefault="00000000">
      <w:pPr>
        <w:numPr>
          <w:ilvl w:val="0"/>
          <w:numId w:val="3"/>
        </w:num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Entry multiple: 9.0x LTM EBITDA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28" w14:textId="77777777" w:rsidR="00572720" w:rsidRDefault="00000000">
      <w:pPr>
        <w:numPr>
          <w:ilvl w:val="0"/>
          <w:numId w:val="3"/>
        </w:num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Exit multiple: 8.0x EBITDA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29" w14:textId="77777777" w:rsidR="00572720" w:rsidRDefault="00000000">
      <w:pPr>
        <w:numPr>
          <w:ilvl w:val="0"/>
          <w:numId w:val="3"/>
        </w:num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Holding period: 5 years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2A" w14:textId="77777777" w:rsidR="00572720" w:rsidRDefault="00000000">
      <w:p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returns:</w:t>
      </w:r>
    </w:p>
    <w:p w14:paraId="0000002B" w14:textId="77777777" w:rsidR="00572720" w:rsidRDefault="00000000">
      <w:pPr>
        <w:numPr>
          <w:ilvl w:val="0"/>
          <w:numId w:val="1"/>
        </w:num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Internal Rate of Return (IRR): ~27%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2C" w14:textId="77777777" w:rsidR="00572720" w:rsidRDefault="00000000">
      <w:pPr>
        <w:numPr>
          <w:ilvl w:val="0"/>
          <w:numId w:val="1"/>
        </w:num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of Invested Capital (MOIC): ~3.3x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000002E" w14:textId="0CA1C497" w:rsidR="00572720" w:rsidRDefault="00967650">
      <w:pPr>
        <w:pStyle w:val="Heading2"/>
        <w:keepNext w:val="0"/>
        <w:keepLines w:val="0"/>
        <w:spacing w:before="20" w:after="4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7txzmilmxmko" w:colFirst="0" w:colLast="0"/>
      <w:bookmarkEnd w:id="6"/>
      <w:r w:rsidRPr="00967650">
        <w:rPr>
          <w:rFonts w:ascii="Times New Roman" w:eastAsia="Times New Roman" w:hAnsi="Times New Roman" w:cs="Times New Roman"/>
          <w:b/>
          <w:bCs/>
          <w:sz w:val="24"/>
          <w:szCs w:val="24"/>
        </w:rPr>
        <w:t>Entry at a 9.0x LTM EBITDA multiple, combined with sustained ARR growth, EBITDA margin expansion, and cumulative free-cash-flow-driven debt paydown, materially increases equity value by exit. The assumed 8.0x exit multiple reflects conservative underwriting and does not rely on multiple expansion to achieve target returns.</w:t>
      </w:r>
    </w:p>
    <w:p w14:paraId="61ABC068" w14:textId="77777777" w:rsidR="00967650" w:rsidRPr="00967650" w:rsidRDefault="00967650" w:rsidP="00967650"/>
    <w:p w14:paraId="0000002F" w14:textId="77777777" w:rsidR="00572720" w:rsidRDefault="00000000">
      <w:pPr>
        <w:pStyle w:val="Heading2"/>
        <w:keepNext w:val="0"/>
        <w:keepLines w:val="0"/>
        <w:spacing w:before="240"/>
        <w:jc w:val="both"/>
        <w:rPr>
          <w:sz w:val="26"/>
          <w:szCs w:val="26"/>
        </w:rPr>
      </w:pPr>
      <w:bookmarkStart w:id="7" w:name="_b6nyavl1wjlv" w:colFirst="0" w:colLast="0"/>
      <w:bookmarkEnd w:id="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7. Risks</w:t>
      </w:r>
    </w:p>
    <w:p w14:paraId="00000030" w14:textId="77777777" w:rsidR="00572720" w:rsidRDefault="00000000">
      <w:pPr>
        <w:pStyle w:val="Heading2"/>
        <w:keepNext w:val="0"/>
        <w:keepLines w:val="0"/>
        <w:spacing w:after="80" w:line="240" w:lineRule="auto"/>
        <w:ind w:left="720" w:hanging="36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8" w:name="_4gq6frlras3t" w:colFirst="0" w:colLast="0"/>
      <w:bookmarkEnd w:id="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Key Risks</w:t>
      </w:r>
    </w:p>
    <w:p w14:paraId="00000031" w14:textId="77777777" w:rsidR="00572720" w:rsidRDefault="00572720"/>
    <w:p w14:paraId="00000032" w14:textId="77777777" w:rsidR="00572720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Highly competitive and rapidly evolving cybersecurity landscape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3" w14:textId="77777777" w:rsidR="00572720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Technology shifts requiring sustained product innovation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4" w14:textId="77777777" w:rsidR="00572720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Potential customer churn or pricing pressure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5" w14:textId="77777777" w:rsidR="00572720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Execution risk related to operational improvements and margin expansion.</w:t>
      </w:r>
    </w:p>
    <w:p w14:paraId="00000036" w14:textId="77777777" w:rsidR="00572720" w:rsidRDefault="00000000">
      <w:pPr>
        <w:pStyle w:val="Heading2"/>
        <w:keepNext w:val="0"/>
        <w:keepLines w:val="0"/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9" w:name="_zeo0bk4wrzuv" w:colFirst="0" w:colLast="0"/>
      <w:bookmarkEnd w:id="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 Exit Strategy</w:t>
      </w:r>
    </w:p>
    <w:p w14:paraId="00000037" w14:textId="77777777" w:rsidR="00572720" w:rsidRDefault="00572720">
      <w:pPr>
        <w:jc w:val="both"/>
      </w:pPr>
    </w:p>
    <w:p w14:paraId="00000038" w14:textId="77777777" w:rsidR="00572720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Potential exit options include:</w:t>
      </w:r>
    </w:p>
    <w:p w14:paraId="00000039" w14:textId="77777777" w:rsidR="00572720" w:rsidRDefault="00000000">
      <w:pPr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 public offering (IPO)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A" w14:textId="77777777" w:rsidR="00572720" w:rsidRDefault="00000000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Sale to a strategic technology buyer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B" w14:textId="77777777" w:rsidR="00572720" w:rsidRDefault="00000000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Secondary sale to another private equity sponsor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C" w14:textId="77777777" w:rsidR="00572720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investment is expected to exit in approximately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five years</w:t>
      </w:r>
      <w:r>
        <w:rPr>
          <w:rFonts w:ascii="Times New Roman" w:eastAsia="Times New Roman" w:hAnsi="Times New Roman" w:cs="Times New Roman"/>
          <w:sz w:val="24"/>
          <w:szCs w:val="24"/>
        </w:rPr>
        <w:t>, subject to market conditions.</w:t>
      </w:r>
    </w:p>
    <w:p w14:paraId="0000003D" w14:textId="77777777" w:rsidR="00572720" w:rsidRDefault="00572720">
      <w:pPr>
        <w:spacing w:before="20"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572720" w:rsidRDefault="00572720">
      <w:pPr>
        <w:spacing w:before="20"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5727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8EA2174-3393-D94B-BB96-3D740327CFD8}"/>
    <w:embedBold r:id="rId2" w:fontKey="{2BDF9FF7-A5DF-DD4D-AAD0-9ECDD3E486F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21245B55-9DA3-7449-8C34-BB39D94F7E4E}"/>
    <w:embedItalic r:id="rId4" w:fontKey="{F989AF4F-8702-9742-B2CE-8F49660F08A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0C28A320-6A26-7942-B901-ECB9EF762011}"/>
  </w:font>
  <w:font w:name="Cambria">
    <w:panose1 w:val="02040503050406030204"/>
    <w:charset w:val="00"/>
    <w:family w:val="roman"/>
    <w:notTrueType/>
    <w:pitch w:val="default"/>
    <w:embedRegular r:id="rId6" w:fontKey="{76F243AF-13D9-7E49-8464-7D724EFB53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A5FF9"/>
    <w:multiLevelType w:val="multilevel"/>
    <w:tmpl w:val="345AEF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730FB7"/>
    <w:multiLevelType w:val="multilevel"/>
    <w:tmpl w:val="34F86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594255B"/>
    <w:multiLevelType w:val="multilevel"/>
    <w:tmpl w:val="951A7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9F1DA1"/>
    <w:multiLevelType w:val="multilevel"/>
    <w:tmpl w:val="D7DA6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257929"/>
    <w:multiLevelType w:val="multilevel"/>
    <w:tmpl w:val="D47ADE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397678"/>
    <w:multiLevelType w:val="multilevel"/>
    <w:tmpl w:val="7780E1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3D1188"/>
    <w:multiLevelType w:val="multilevel"/>
    <w:tmpl w:val="A9FE0F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01426743">
    <w:abstractNumId w:val="2"/>
  </w:num>
  <w:num w:numId="2" w16cid:durableId="22021104">
    <w:abstractNumId w:val="0"/>
  </w:num>
  <w:num w:numId="3" w16cid:durableId="239487959">
    <w:abstractNumId w:val="6"/>
  </w:num>
  <w:num w:numId="4" w16cid:durableId="62214942">
    <w:abstractNumId w:val="5"/>
  </w:num>
  <w:num w:numId="5" w16cid:durableId="759104453">
    <w:abstractNumId w:val="1"/>
  </w:num>
  <w:num w:numId="6" w16cid:durableId="1952325124">
    <w:abstractNumId w:val="3"/>
  </w:num>
  <w:num w:numId="7" w16cid:durableId="455871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720"/>
    <w:rsid w:val="00307037"/>
    <w:rsid w:val="00572720"/>
    <w:rsid w:val="0096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8F2B3"/>
  <w15:docId w15:val="{2A28C824-9693-404D-A707-00453F126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616</Words>
  <Characters>3513</Characters>
  <Application>Microsoft Office Word</Application>
  <DocSecurity>0</DocSecurity>
  <Lines>29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. Gaurav</cp:lastModifiedBy>
  <cp:revision>2</cp:revision>
  <dcterms:created xsi:type="dcterms:W3CDTF">2026-02-03T18:55:00Z</dcterms:created>
  <dcterms:modified xsi:type="dcterms:W3CDTF">2026-02-03T18:55:00Z</dcterms:modified>
</cp:coreProperties>
</file>