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85646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Restructuring &amp; Valuation Memorandum</w:t>
      </w:r>
    </w:p>
    <w:p w14:paraId="00000002" w14:textId="77777777" w:rsidR="00E85646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Hertz Global Holdings, Inc.</w:t>
      </w:r>
    </w:p>
    <w:p w14:paraId="00000003" w14:textId="77777777" w:rsidR="00E85646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One of the Largest Global Vehicle Rental Companies</w:t>
      </w:r>
    </w:p>
    <w:p w14:paraId="00000004" w14:textId="77777777" w:rsidR="00E85646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Date- December 2025</w:t>
      </w:r>
    </w:p>
    <w:p w14:paraId="00000005" w14:textId="77777777" w:rsidR="00E85646" w:rsidRDefault="00E85646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06" w14:textId="77777777" w:rsidR="00E85646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_jwqzrtzyqpn" w:colFirst="0" w:colLast="0"/>
      <w:bookmarkEnd w:id="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Executive Summary</w:t>
      </w:r>
    </w:p>
    <w:p w14:paraId="00000007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Hertz Global Holdings, Inc. (“Hertz”) is one of the world’s largest vehicle rental companies, operating a global network of airport and off-airport locations under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Hertz, Dollar, and Thrifty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brands. In 2020, the company experienced acute financial distress following an unprecedented collapse in global travel demand due to COVID-19, combined with high fixed operating costs and an unsustainable leveraged capital structure.</w:t>
      </w:r>
    </w:p>
    <w:p w14:paraId="7B9A292B" w14:textId="67A563DE" w:rsidR="00BB6B68" w:rsidRDefault="00BB6B6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BB6B68">
        <w:rPr>
          <w:rFonts w:ascii="Times New Roman" w:eastAsia="Times New Roman" w:hAnsi="Times New Roman" w:cs="Times New Roman"/>
          <w:sz w:val="24"/>
          <w:szCs w:val="24"/>
        </w:rPr>
        <w:t>Valuation and recovery analysis are based on forward-looking, post-reorganization normalized EBITDA assumptions (2022E) to assess going-concern value rather than liquidation outcomes.</w:t>
      </w:r>
    </w:p>
    <w:p w14:paraId="45B9DD01" w14:textId="77777777" w:rsidR="00BB6B68" w:rsidRDefault="00BB6B6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BB6B68">
        <w:rPr>
          <w:rFonts w:ascii="Times New Roman" w:eastAsia="Times New Roman" w:hAnsi="Times New Roman" w:cs="Times New Roman"/>
          <w:sz w:val="24"/>
          <w:szCs w:val="24"/>
        </w:rPr>
        <w:t>At the time of its Chapter 11 filing in May 2020, Hertz had approximately $19.2 billion in gross debt against a normalized 2019 LTM EBITDA of ~$2.3 billion, implying 8.3x total leverage, with a substantial portion of cash flows consumed by ~$900 million in annual cash interest expense. Liquidity analysis indicates that, under a COVID-impacted operating environment, Hertz would have exhausted cash in 2021 absent restructuring, making a court-supervised reorganization unavoidable.</w:t>
      </w:r>
    </w:p>
    <w:p w14:paraId="0000000A" w14:textId="6E1AC525" w:rsidR="00E85646" w:rsidRDefault="00BB6B6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BB6B68">
        <w:rPr>
          <w:rFonts w:ascii="Times New Roman" w:eastAsia="Times New Roman" w:hAnsi="Times New Roman" w:cs="Times New Roman"/>
          <w:sz w:val="24"/>
          <w:szCs w:val="24"/>
        </w:rPr>
        <w:t>Despite near-term financial distress, Hertz owns a valuable operating platform, a globally recognized brand, and a large-scale fleet management infrastructure. Under the proposed restructuring, the company significantly reduces corporate leverage, eliminates unsecured debt, and emerges with improved liquidity and a viable capital structure. The restructuring positions Hertz to participate in a recovery in global travel demand while preserving value for secured and senior creditors.</w:t>
      </w:r>
    </w:p>
    <w:p w14:paraId="0000000B" w14:textId="77777777" w:rsidR="00E85646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" w:name="_k9bn1rad4vtr" w:colFirst="0" w:colLast="0"/>
      <w:bookmarkEnd w:id="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 Business Overview</w:t>
      </w:r>
    </w:p>
    <w:p w14:paraId="0000000C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Hertz provides short-term vehicle rental services to leisure and business travelers through a global network of airport and neighborhood locations. The company operates across North America, Europe, and other international markets, with revenues historically driven by travel volumes and vehicle utilization.</w:t>
      </w:r>
    </w:p>
    <w:p w14:paraId="0000000D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attributes include:</w:t>
      </w:r>
    </w:p>
    <w:p w14:paraId="0000000E" w14:textId="77777777" w:rsidR="00E85646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Globally recognized brand portfolio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(Hertz, Dollar, Thrifty)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E8564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Large and flexible vehicle fleet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financed primarily through asset-backed securitizations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0" w14:textId="77777777" w:rsidR="00E8564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Significant operating leverage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travel demand recovery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1" w14:textId="77777777" w:rsidR="00E85646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Asset-backed business model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structurally senior fleet financing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2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2019, Hertz generated approximately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$9.8 billion of revenue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$2.3 billion of EBITDA</w:t>
      </w:r>
      <w:r>
        <w:rPr>
          <w:rFonts w:ascii="Times New Roman" w:eastAsia="Times New Roman" w:hAnsi="Times New Roman" w:cs="Times New Roman"/>
          <w:sz w:val="24"/>
          <w:szCs w:val="24"/>
        </w:rPr>
        <w:t>, reflecting strong pre-COVID demand conditions.</w:t>
      </w:r>
    </w:p>
    <w:p w14:paraId="00000013" w14:textId="77777777" w:rsidR="00E85646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12cg9oa38qqe" w:colFirst="0" w:colLast="0"/>
      <w:bookmarkEnd w:id="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3. Causes of Distress</w:t>
      </w:r>
    </w:p>
    <w:p w14:paraId="00000014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Hertz’s financial distress was driven by a convergence of structural and cyclical factors:</w:t>
      </w:r>
    </w:p>
    <w:p w14:paraId="00000015" w14:textId="77777777" w:rsidR="00E85646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Collapse in global travel demand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with 2020 revenue declining to approximately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$5.2 billion (-47% YoY)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16" w14:textId="77777777" w:rsidR="00E8564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Negative EBITDA of approximately $(500) million in 2020</w:t>
      </w:r>
      <w:r>
        <w:rPr>
          <w:rFonts w:ascii="Times New Roman" w:eastAsia="Times New Roman" w:hAnsi="Times New Roman" w:cs="Times New Roman"/>
          <w:sz w:val="24"/>
          <w:szCs w:val="24"/>
        </w:rPr>
        <w:t>, reflecting underutilized fleet and fixed cost rigidity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7" w14:textId="77777777" w:rsidR="00E8564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High fixed operating and fleet-related costs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could not flex proportionally with demand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8" w14:textId="77777777" w:rsidR="00E8564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Excessive leverage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$14.0 billion of vehicle ABS debt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$5.2 billion of corporate-level obligations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19" w14:textId="77777777" w:rsidR="00E85646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Liquidity shortfall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with free cash flow of approximately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$(1.46) billion in 2020</w:t>
      </w:r>
      <w:r>
        <w:rPr>
          <w:rFonts w:ascii="Times New Roman" w:eastAsia="Times New Roman" w:hAnsi="Times New Roman" w:cs="Times New Roman"/>
          <w:sz w:val="24"/>
          <w:szCs w:val="24"/>
        </w:rPr>
        <w:t>, leading to a breach of minimum liquidity thresholds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A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dynamics rendered Hertz unable to meet its financial obligations, necessitating a Chapter 11 filing to preserve enterprise value.</w:t>
      </w:r>
    </w:p>
    <w:p w14:paraId="0000001B" w14:textId="77777777" w:rsidR="00E85646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" w:name="_qemf1aht1qow" w:colFirst="0" w:colLast="0"/>
      <w:bookmarkEnd w:id="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 Capital Structure at Filing</w:t>
      </w:r>
    </w:p>
    <w:p w14:paraId="0000001C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filing, Hertz’s capital structure consisted of the following (pre-petition):</w:t>
      </w:r>
    </w:p>
    <w:p w14:paraId="0000001D" w14:textId="77777777" w:rsidR="00E85646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$14.0 billion of vehicle asset-backed securitization (ABS) debt</w:t>
      </w:r>
      <w:r>
        <w:rPr>
          <w:rFonts w:ascii="Times New Roman" w:eastAsia="Times New Roman" w:hAnsi="Times New Roman" w:cs="Times New Roman"/>
          <w:sz w:val="24"/>
          <w:szCs w:val="24"/>
        </w:rPr>
        <w:t>, structurally senior and secured by fleet assets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E" w14:textId="77777777" w:rsidR="00E8564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$1.4 billion First Lien Term Loan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1F" w14:textId="77777777" w:rsidR="00E8564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$0.4 billion Second Lien Notes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20" w14:textId="77777777" w:rsidR="00E8564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$2.8 billion Senior Unsecured Notes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21" w14:textId="77777777" w:rsidR="00E8564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$0.6 billion Convertible Notes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22" w14:textId="77777777" w:rsidR="00E85646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 gross debt: ~$19.2 billion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23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Total secured debt represented approximately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82% of total debt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while unsecured and convertible creditors were deeply impaired. Equity had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 residual value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 filing under any reasonable valuation scenario.</w:t>
      </w:r>
    </w:p>
    <w:p w14:paraId="00000024" w14:textId="77777777" w:rsidR="00E85646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" w:name="_kg3kml6hdurd" w:colFirst="0" w:colLast="0"/>
      <w:bookmarkEnd w:id="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 Restructuring Plan</w:t>
      </w:r>
    </w:p>
    <w:p w14:paraId="00000025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proposed restructuring materially deleverages the balance sheet through a combination of debt reinstatement, debt-to-equity conversion, and impairment of junior claims:</w:t>
      </w:r>
    </w:p>
    <w:p w14:paraId="00000026" w14:textId="77777777" w:rsidR="00E85646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Vehicle ABS debt ($14.0 billion)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reinstated and serviced in the ordinary course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7" w14:textId="77777777" w:rsidR="00E8564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 Lien Term Loan ($1.4 billion)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extended with revised maturities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8" w14:textId="77777777" w:rsidR="00E8564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Second Lien Notes reduced from $400 million to $200 million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through partial conversion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9" w14:textId="77777777" w:rsidR="00E8564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Senior Unsecured Notes ($2.8 billion)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converted into equity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A" w14:textId="77777777" w:rsidR="00E8564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Convertible Notes ($600 million)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eliminated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B" w14:textId="77777777" w:rsidR="00E85646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Legacy equity cancelled</w:t>
      </w:r>
    </w:p>
    <w:p w14:paraId="0000002C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Post-reorganization, total debt is reduced to approximately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$15.6 billion</w:t>
      </w:r>
      <w:r>
        <w:rPr>
          <w:rFonts w:ascii="Times New Roman" w:eastAsia="Times New Roman" w:hAnsi="Times New Roman" w:cs="Times New Roman"/>
          <w:sz w:val="24"/>
          <w:szCs w:val="24"/>
        </w:rPr>
        <w:t>, improving liquidity while maintaining fleet financing critical to operations.</w:t>
      </w:r>
    </w:p>
    <w:p w14:paraId="0000002D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 Valuation &amp; Recoveries</w:t>
      </w:r>
    </w:p>
    <w:p w14:paraId="0000002E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Enterprise value was assessed using a distressed going-concern framework, anchored by EBITDA recovery assumptions and conservative trading multiples.</w:t>
      </w:r>
    </w:p>
    <w:p w14:paraId="0000002F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Base-case valuation:</w:t>
      </w:r>
    </w:p>
    <w:p w14:paraId="00000030" w14:textId="77777777" w:rsidR="00E85646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Normalized EBITDA (2022E): ~$1.5 billion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31" w14:textId="77777777" w:rsidR="00E8564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 / EBITDA multiple: 4.5x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32" w14:textId="77777777" w:rsidR="00E85646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Implied Enterprise Value: ~$6.75 billion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33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Recoveries are primarily driven by enterprise value and the priority of claims, with ABS lenders remaining unimpaired due to collateral coverage.</w:t>
      </w:r>
    </w:p>
    <w:p w14:paraId="00000034" w14:textId="77777777" w:rsidR="00E85646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" w:name="_bjqv3423srso" w:colFirst="0" w:colLast="0"/>
      <w:bookmarkEnd w:id="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7. Key Risks</w:t>
      </w:r>
    </w:p>
    <w:p w14:paraId="00000035" w14:textId="77777777" w:rsidR="00E85646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Prolonged weakness in global travel demand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delaying EBITDA recovery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6" w14:textId="77777777" w:rsidR="00E8564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Used vehicle price volatility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impacting fleet residual values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7" w14:textId="77777777" w:rsidR="00E8564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 and cost of fleet financing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post-emergence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8" w14:textId="77777777" w:rsidR="00E85646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risk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related to cost discipline and fleet optimization</w:t>
      </w:r>
    </w:p>
    <w:p w14:paraId="00000039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8. Conclusion</w:t>
      </w:r>
    </w:p>
    <w:p w14:paraId="0000003A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Hertz’s restructuring addresses a fundamentally unsustainable pre-petition capital structure while preserving the core operating business. By materially reducing unsecured debt, stabilizing liquidity, and maintaining access to fleet financing, the company emerges positioned to benefit from a recovery in travel demand.</w:t>
      </w:r>
    </w:p>
    <w:p w14:paraId="0000003B" w14:textId="77777777" w:rsidR="00E856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leverage remains elevated post-reorganization, the restructured balance sheet provides sufficient runway to operate as a going concern and maximize recoveries for senior stakeholders. The restructuring represents a value-preserving outcome relative to liquidation and aligns creditor recoveries with enterprise value fundamentals.</w:t>
      </w:r>
    </w:p>
    <w:p w14:paraId="0000003C" w14:textId="77777777" w:rsidR="00E85646" w:rsidRDefault="00E8564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E85646" w:rsidRDefault="00E8564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77777777" w:rsidR="00E85646" w:rsidRDefault="00E85646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E856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336C8CD-7023-CE47-BBFA-CAD68919E3C9}"/>
    <w:embedBold r:id="rId2" w:fontKey="{10165B87-4EBC-6B47-8E5B-0DCB5599F47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8EFE6B3E-C9EA-6B41-9F78-B341D652AB29}"/>
    <w:embedItalic r:id="rId4" w:fontKey="{67E2E031-9FAF-7044-91D7-5AA91DA10910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6E03C580-A1FB-374C-BE9C-2A1F29630079}"/>
  </w:font>
  <w:font w:name="Cambria">
    <w:panose1 w:val="02040503050406030204"/>
    <w:charset w:val="00"/>
    <w:family w:val="roman"/>
    <w:notTrueType/>
    <w:pitch w:val="default"/>
    <w:embedRegular r:id="rId6" w:fontKey="{CF6E6279-01DB-544A-B1A9-40FFC040FA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391"/>
    <w:multiLevelType w:val="multilevel"/>
    <w:tmpl w:val="104EED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6F662F"/>
    <w:multiLevelType w:val="multilevel"/>
    <w:tmpl w:val="B8A04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3F5686"/>
    <w:multiLevelType w:val="multilevel"/>
    <w:tmpl w:val="22C89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D66B1D"/>
    <w:multiLevelType w:val="multilevel"/>
    <w:tmpl w:val="040CB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5A53AE"/>
    <w:multiLevelType w:val="multilevel"/>
    <w:tmpl w:val="ECE22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99104C"/>
    <w:multiLevelType w:val="multilevel"/>
    <w:tmpl w:val="C26A1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6596513">
    <w:abstractNumId w:val="4"/>
  </w:num>
  <w:num w:numId="2" w16cid:durableId="1735616279">
    <w:abstractNumId w:val="5"/>
  </w:num>
  <w:num w:numId="3" w16cid:durableId="1865483432">
    <w:abstractNumId w:val="2"/>
  </w:num>
  <w:num w:numId="4" w16cid:durableId="408314322">
    <w:abstractNumId w:val="1"/>
  </w:num>
  <w:num w:numId="5" w16cid:durableId="771895541">
    <w:abstractNumId w:val="3"/>
  </w:num>
  <w:num w:numId="6" w16cid:durableId="146546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646"/>
    <w:rsid w:val="00307037"/>
    <w:rsid w:val="00BB6B68"/>
    <w:rsid w:val="00E8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EC3C2D"/>
  <w15:docId w15:val="{2A28C824-9693-404D-A707-00453F126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901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. Gaurav</cp:lastModifiedBy>
  <cp:revision>2</cp:revision>
  <dcterms:created xsi:type="dcterms:W3CDTF">2026-02-03T18:37:00Z</dcterms:created>
  <dcterms:modified xsi:type="dcterms:W3CDTF">2026-02-03T18:37:00Z</dcterms:modified>
</cp:coreProperties>
</file>