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63EB" w14:textId="77777777" w:rsidR="00F43783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vxa7f66hf5c8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Confidential Information Memorandum (CIM)</w:t>
      </w:r>
    </w:p>
    <w:p w14:paraId="062E0046" w14:textId="77777777" w:rsidR="00F43783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36k7qyxdhx6s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Strategic Acquisition of Advanced Disposal Services, Inc.</w:t>
      </w:r>
    </w:p>
    <w:p w14:paraId="2DCD1F00" w14:textId="77777777" w:rsidR="00F43783" w:rsidRDefault="00000000" w:rsidP="00A757B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" w:name="_shfv8ai16qc4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Target: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Advanced Disposal Services Inc.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Acquirer: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Waste Management, Inc.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Transaction Type: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100% Cash Acquisition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October 2025</w:t>
      </w:r>
    </w:p>
    <w:p w14:paraId="312B04DD" w14:textId="77777777" w:rsidR="00F43783" w:rsidRDefault="00F43783">
      <w:pPr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14:paraId="5A665F29" w14:textId="163727F8" w:rsidR="00F43783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kk7dnvyzpkv5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A757B3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</w:p>
    <w:p w14:paraId="245D8FAC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Waste Management, Inc. (“WM”) has agreed to acquire Advanced Disposal Services (“ADS”) in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100% cash transaction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an implied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value of approximately $4.9 billion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representing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~13.5x LTM EBITDA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~33% premium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ADS’s unaffected share price.</w:t>
      </w:r>
    </w:p>
    <w:p w14:paraId="345D82EA" w14:textId="6B680B02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transaction significantly expands WM’s footprint in attractive regional markets, increases route density, and enhances internal landfill utilization. The combination is expected to generate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$100 million of annual run-rate EBITDA synergies by Year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A757B3"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57B3">
        <w:rPr>
          <w:rFonts w:ascii="Times New Roman" w:eastAsia="Times New Roman" w:hAnsi="Times New Roman" w:cs="Times New Roman"/>
          <w:sz w:val="24"/>
          <w:szCs w:val="24"/>
        </w:rPr>
        <w:t>e</w:t>
      </w:r>
      <w:r w:rsidR="00A757B3" w:rsidRPr="00A757B3">
        <w:rPr>
          <w:rFonts w:ascii="Times New Roman" w:eastAsia="Times New Roman" w:hAnsi="Times New Roman" w:cs="Times New Roman"/>
          <w:sz w:val="24"/>
          <w:szCs w:val="24"/>
        </w:rPr>
        <w:t>xpected to become accretive to EPS, free cash flow, and ROIC over the medium term as synergies are realized.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free cash flow, and return on invested capital.</w:t>
      </w:r>
    </w:p>
    <w:p w14:paraId="02742527" w14:textId="77777777" w:rsidR="00F43783" w:rsidRDefault="00F437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C1E9FD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Company Overview</w:t>
      </w:r>
    </w:p>
    <w:p w14:paraId="763A57D1" w14:textId="5D0515D5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Advanced Disposal is a leading regional solid waste management platform with operations across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Eastern, Midwest, and Southern United States</w:t>
      </w:r>
      <w:r>
        <w:rPr>
          <w:rFonts w:ascii="Times New Roman" w:eastAsia="Times New Roman" w:hAnsi="Times New Roman" w:cs="Times New Roman"/>
          <w:sz w:val="24"/>
          <w:szCs w:val="24"/>
        </w:rPr>
        <w:t>. The company provides an integrated suite of services</w:t>
      </w:r>
      <w:r w:rsidR="00A757B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including residential curbside collection, commercial and industrial hauling, transfer station operations, recycling, and landfill disposal.</w:t>
      </w:r>
    </w:p>
    <w:p w14:paraId="3747D3A7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LTM FY2019 Financials</w:t>
      </w:r>
    </w:p>
    <w:p w14:paraId="598F88B4" w14:textId="77777777" w:rsidR="00F43783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Revenue: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~$1.6 billion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27C55D4" w14:textId="77777777" w:rsidR="00F43783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Adjusted EBITDA: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~$360 million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6F58A32" w14:textId="77777777" w:rsidR="00F43783" w:rsidRDefault="00000000">
      <w:pPr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EBITDA Margin: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~22%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4C37476" w14:textId="77777777" w:rsidR="00F43783" w:rsidRDefault="00F43783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7939B" w14:textId="77777777" w:rsidR="00F43783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Strengths</w:t>
      </w:r>
    </w:p>
    <w:p w14:paraId="3FC678C0" w14:textId="77777777" w:rsidR="00F43783" w:rsidRDefault="00000000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Essential, non-discretionary services supporting stable demand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13369E" w14:textId="77777777" w:rsidR="00F43783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Ownership of strategically located landfill and transfer assets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230F35" w14:textId="77777777" w:rsidR="00F43783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Diversified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mix across residential, commercial, industrial, and municipal end markets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0B4CDC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Industry Context</w:t>
      </w:r>
    </w:p>
    <w:p w14:paraId="409036EA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U.S. solid waste management industry exhibits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 barriers to entry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due to permitting complexity, environmental regulation, and the scarcity of landfill assets. National operators dominate large urban markets, while regional markets remain fragmented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consolidation-driven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7822D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Industry Tailwinds</w:t>
      </w:r>
    </w:p>
    <w:p w14:paraId="0A69EA04" w14:textId="77777777" w:rsidR="00F43783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Population growth and urbanization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436410" w14:textId="77777777" w:rsidR="00F4378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Increasing environmental and regulatory standards favoring scale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626DA9" w14:textId="77777777" w:rsidR="00F4378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pricing discipline across the industry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15E0E9" w14:textId="77777777" w:rsidR="00F43783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Continued strategic consolidation by large operators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1620F6E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dynamics support premium valuation multiples for platforms with owned disposal infrastructure and route density advantages.</w:t>
      </w:r>
    </w:p>
    <w:p w14:paraId="39F6BF0F" w14:textId="77777777" w:rsidR="00F43783" w:rsidRDefault="00F437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0C82F5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Strategic Rationale</w:t>
      </w:r>
    </w:p>
    <w:p w14:paraId="5D08C90B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acquisition of ADS is strategically compelling for WM for the following reasons:</w:t>
      </w:r>
    </w:p>
    <w:p w14:paraId="3515953F" w14:textId="77777777" w:rsidR="00F4378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seyiwbffvxd2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Geographic Expansion</w:t>
      </w:r>
    </w:p>
    <w:p w14:paraId="180B5B18" w14:textId="77777777" w:rsidR="00F4378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ADS strengthens WM’s presence in high-growth regions where WM previously operated at subscale, improving competitive positioning and market share.</w:t>
      </w:r>
    </w:p>
    <w:p w14:paraId="06B26CF5" w14:textId="77777777" w:rsidR="00F4378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mobciga5g7yp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Route Density &amp; Network Optimization</w:t>
      </w:r>
    </w:p>
    <w:p w14:paraId="060AA031" w14:textId="77777777" w:rsidR="00F4378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Combining collection routes reduces overlapping miles driven, labor hours, and fuel costs while improving truck utilization and operating margins.</w:t>
      </w:r>
    </w:p>
    <w:p w14:paraId="60B01938" w14:textId="77777777" w:rsidR="00F4378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3jyiqqunsym1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Vertical Integration &amp; Landfill Utilization</w:t>
      </w:r>
    </w:p>
    <w:p w14:paraId="5EC453A1" w14:textId="77777777" w:rsidR="00F4378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ADS’s owned landfill and transfer assets enable WM to internalize additional waste volumes, reducing third-party tipping fees and increasing EBITDA per ton.</w:t>
      </w:r>
    </w:p>
    <w:p w14:paraId="2CC942F9" w14:textId="77777777" w:rsidR="00F4378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jowd7hbp8dih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Cost &amp; Revenue Synergies</w:t>
      </w:r>
    </w:p>
    <w:p w14:paraId="401B0B1F" w14:textId="77777777" w:rsidR="00F4378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WM expects to realize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$100 million of annual run-rate synergies</w:t>
      </w:r>
      <w:r>
        <w:rPr>
          <w:rFonts w:ascii="Times New Roman" w:eastAsia="Times New Roman" w:hAnsi="Times New Roman" w:cs="Times New Roman"/>
          <w:sz w:val="24"/>
          <w:szCs w:val="24"/>
        </w:rPr>
        <w:t>, primarily from SG&amp;A rationalization, procurement scale, fleet optimization, and pricing discipline in overlapping markets.</w:t>
      </w:r>
    </w:p>
    <w:p w14:paraId="688674BC" w14:textId="77777777" w:rsidR="00F43783" w:rsidRDefault="00F437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392D49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Valuation Summary</w:t>
      </w:r>
    </w:p>
    <w:p w14:paraId="718B0CF4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Advanced Disposal was valued using multiple methodologies:</w:t>
      </w:r>
    </w:p>
    <w:tbl>
      <w:tblPr>
        <w:tblStyle w:val="a"/>
        <w:tblW w:w="6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2030"/>
        <w:gridCol w:w="1670"/>
      </w:tblGrid>
      <w:tr w:rsidR="00F43783" w14:paraId="3813EF3D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D8C2" w14:textId="77777777" w:rsidR="00F4378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8EE1" w14:textId="77777777" w:rsidR="00F4378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Implied EV ($bn)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FFB7" w14:textId="77777777" w:rsidR="00F4378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 / EBITDA</w:t>
            </w:r>
          </w:p>
        </w:tc>
      </w:tr>
      <w:tr w:rsidR="00F43783" w14:paraId="7A583ECA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D63E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Trading Comparables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F59E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– 4.6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9A39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11.5x – 12.5x</w:t>
            </w:r>
          </w:p>
        </w:tc>
      </w:tr>
      <w:tr w:rsidR="00F43783" w14:paraId="7DE104E9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DD388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Precedent Transactions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BD87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4.5 – 5.2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DBEF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12.5x – 14.5x</w:t>
            </w:r>
          </w:p>
        </w:tc>
      </w:tr>
      <w:tr w:rsidR="00F43783" w14:paraId="1FE4587F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5B7A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Discounted Cash Flow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227A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 – 5.0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5CEA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12.0x – 14.0x</w:t>
            </w:r>
          </w:p>
        </w:tc>
      </w:tr>
      <w:tr w:rsidR="00F43783" w14:paraId="3A230720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D1A9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Offer Price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0BD8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~4.9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65A4C" w14:textId="77777777" w:rsidR="00F4378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~13.5x</w:t>
            </w:r>
          </w:p>
        </w:tc>
      </w:tr>
    </w:tbl>
    <w:p w14:paraId="6CD53794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a synergy-adjusted basis, the effective acquisition multiple declines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~10.7x EBITDA</w:t>
      </w:r>
      <w:r>
        <w:rPr>
          <w:rFonts w:ascii="Times New Roman" w:eastAsia="Times New Roman" w:hAnsi="Times New Roman" w:cs="Times New Roman"/>
          <w:sz w:val="24"/>
          <w:szCs w:val="24"/>
        </w:rPr>
        <w:t>, materially improving WM’s long-term return profile.</w:t>
      </w:r>
    </w:p>
    <w:p w14:paraId="4AC22A9E" w14:textId="77777777" w:rsidR="00F43783" w:rsidRDefault="00F437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9C100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Pro Forma Financial Impact</w:t>
      </w:r>
    </w:p>
    <w:p w14:paraId="439DC90F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a pro forma basis, the transaction is expected to:</w:t>
      </w:r>
    </w:p>
    <w:p w14:paraId="75225438" w14:textId="4105E673" w:rsidR="0007139F" w:rsidRPr="0007139F" w:rsidRDefault="0007139F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Expected to become accretive to WM’s EPS over the medium term as synergies are realized</w:t>
      </w:r>
      <w:r>
        <w:t>.</w:t>
      </w:r>
    </w:p>
    <w:p w14:paraId="6CEAC9BA" w14:textId="77777777" w:rsidR="0007139F" w:rsidRPr="0007139F" w:rsidRDefault="0007139F" w:rsidP="0007139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25B7D" w14:textId="71481389" w:rsidR="00F43783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free cash flow generation in Year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92C99E9" w14:textId="77777777" w:rsidR="00F43783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return on invested capital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over the medium term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EFAE37" w14:textId="13291A59" w:rsidR="00F43783" w:rsidRDefault="00A757B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57B3">
        <w:rPr>
          <w:rFonts w:ascii="Times New Roman" w:eastAsia="Times New Roman" w:hAnsi="Times New Roman" w:cs="Times New Roman"/>
          <w:sz w:val="24"/>
          <w:szCs w:val="24"/>
        </w:rPr>
        <w:lastRenderedPageBreak/>
        <w:t>WM expects to realize up to ~$100mm of annual run-rate synergies by Year 3, primarily from route optimization and SG&amp;A efficiencies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B34F1" w14:textId="77777777" w:rsidR="00F43783" w:rsidRDefault="00F4378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2AEDE5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Key Risks &amp; Mitigants</w:t>
      </w:r>
    </w:p>
    <w:p w14:paraId="5EF55D34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Risks</w:t>
      </w:r>
    </w:p>
    <w:p w14:paraId="06058D21" w14:textId="77777777" w:rsidR="00F43783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execution across overlapping operations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03DA6C" w14:textId="77777777" w:rsidR="00F43783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Labor and union exposure in certain markets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DF13E4" w14:textId="77777777" w:rsidR="00F43783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Environmental and regulatory compliance requirements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0ABD36" w14:textId="77777777" w:rsidR="00F43783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Short-term customer disruption during route rationalization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09A0FA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Mitigants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WM’s scale, disciplined integration framework, and strong historical M&amp;A execution materially mitigate these risks.</w:t>
      </w:r>
    </w:p>
    <w:p w14:paraId="7C7160EC" w14:textId="77777777" w:rsidR="00F43783" w:rsidRDefault="00F4378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A0303A" w14:textId="77777777" w:rsidR="00F4378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Conclusion</w:t>
      </w:r>
    </w:p>
    <w:p w14:paraId="3066E987" w14:textId="77777777" w:rsidR="00F43783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acquisition of Advanced Disposal represents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strategically and financially compelling transaction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Waste Management. The combination enhances competitive positioning, expands margins through identifiable synergies, and supports long-term shareholder value creation through improved cash flow generation and capital efficiency.</w:t>
      </w:r>
    </w:p>
    <w:p w14:paraId="7719AC51" w14:textId="77777777" w:rsidR="00F43783" w:rsidRDefault="00F4378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F49C2F" w14:textId="77777777" w:rsidR="00F43783" w:rsidRDefault="00F4378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437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C503589-D9A8-B64B-985D-7E309B80244E}"/>
    <w:embedBold r:id="rId2" w:fontKey="{A99642BD-4521-C649-9D55-FB7D994DB14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3C82AFA-FAC1-974E-84BC-20844502F9FB}"/>
    <w:embedItalic r:id="rId4" w:fontKey="{1691B534-A388-D841-B7E4-9F13507612B5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016EB23C-AF3B-0E4C-8C50-39850495288A}"/>
  </w:font>
  <w:font w:name="Cambria">
    <w:panose1 w:val="02040503050406030204"/>
    <w:charset w:val="00"/>
    <w:family w:val="roman"/>
    <w:notTrueType/>
    <w:pitch w:val="default"/>
    <w:embedRegular r:id="rId6" w:fontKey="{096EAFD7-FBD9-1942-8C6D-1360448096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8FB"/>
    <w:multiLevelType w:val="multilevel"/>
    <w:tmpl w:val="7E40E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F12BF9"/>
    <w:multiLevelType w:val="multilevel"/>
    <w:tmpl w:val="5B66C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26C86"/>
    <w:multiLevelType w:val="multilevel"/>
    <w:tmpl w:val="500C7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85FBC"/>
    <w:multiLevelType w:val="multilevel"/>
    <w:tmpl w:val="EC949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B72C91"/>
    <w:multiLevelType w:val="multilevel"/>
    <w:tmpl w:val="F3E40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580893">
    <w:abstractNumId w:val="0"/>
  </w:num>
  <w:num w:numId="2" w16cid:durableId="1758356399">
    <w:abstractNumId w:val="2"/>
  </w:num>
  <w:num w:numId="3" w16cid:durableId="262156330">
    <w:abstractNumId w:val="3"/>
  </w:num>
  <w:num w:numId="4" w16cid:durableId="1378970546">
    <w:abstractNumId w:val="4"/>
  </w:num>
  <w:num w:numId="5" w16cid:durableId="1048148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783"/>
    <w:rsid w:val="0007139F"/>
    <w:rsid w:val="007C59D3"/>
    <w:rsid w:val="00A757B3"/>
    <w:rsid w:val="00F4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A055F"/>
  <w15:docId w15:val="{0E7FBA07-F7BB-2340-8299-4112CA03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Gaurav</cp:lastModifiedBy>
  <cp:revision>2</cp:revision>
  <dcterms:created xsi:type="dcterms:W3CDTF">2026-02-03T17:51:00Z</dcterms:created>
  <dcterms:modified xsi:type="dcterms:W3CDTF">2026-02-03T17:51:00Z</dcterms:modified>
</cp:coreProperties>
</file>