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9070" w14:textId="77777777" w:rsidR="00F04B7E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eub3eds4471k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Strategic Alternatives &amp; Valuation Memorandum</w:t>
      </w:r>
    </w:p>
    <w:p w14:paraId="7F2AC617" w14:textId="77777777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6ipruktwzmy4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Paramount Global</w:t>
      </w:r>
    </w:p>
    <w:p w14:paraId="26FE6368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November 2025</w:t>
      </w:r>
    </w:p>
    <w:p w14:paraId="08385AC9" w14:textId="77777777" w:rsidR="00F04B7E" w:rsidRDefault="00F04B7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4FF87DD" w14:textId="77777777" w:rsidR="00F04B7E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t4djk0uahe3n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Executive Summary</w:t>
      </w:r>
    </w:p>
    <w:p w14:paraId="0A0C27FE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Paramount Global is a scaled global media and entertainment company with leading positions in broadcast television, cable networks, filmed entertainment, and streaming. The company owns a differentiated portfolio of premium brands and intellectual property, including CBS, Paramount Pictures, MTV, Nickelodeon, Comedy Central, and Paramount+.</w:t>
      </w:r>
    </w:p>
    <w:p w14:paraId="0F66F4BF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FY2024, Paramount generated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$30.5 billion of revenue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$5.2 billion of LTM Adjusted EBITDA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Despite durable cash generation from TV Media, the company’s equity valuation has been pressured by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declines in linear advertising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continued investment in streaming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heightened competition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global technology-led platforms.</w:t>
      </w:r>
    </w:p>
    <w:p w14:paraId="7BC80313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of November 2025, Paramount trades at an implied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~5.0x LTM EBITDA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representing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material discount to peers and precedent transactions</w:t>
      </w:r>
      <w:r>
        <w:rPr>
          <w:rFonts w:ascii="Times New Roman" w:eastAsia="Times New Roman" w:hAnsi="Times New Roman" w:cs="Times New Roman"/>
          <w:sz w:val="24"/>
          <w:szCs w:val="24"/>
        </w:rPr>
        <w:t>. Given the disconnect between public valuation and intrinsic asset value, Paramount is a credible candidate for strategic alternatives, including a sale, asset divestitures, or balance sheet recapitalization.</w:t>
      </w:r>
    </w:p>
    <w:p w14:paraId="432AD8E1" w14:textId="77777777" w:rsidR="00F04B7E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q4viynfzr5ur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Business Overview</w:t>
      </w:r>
    </w:p>
    <w:p w14:paraId="5DCEF5A5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Paramount operates across three reporting segments:</w:t>
      </w:r>
    </w:p>
    <w:p w14:paraId="67B2A6D6" w14:textId="77777777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qhz28ij0ael3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TV Media</w:t>
      </w:r>
    </w:p>
    <w:p w14:paraId="4BB74F29" w14:textId="77777777" w:rsidR="00F04B7E" w:rsidRDefault="00000000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Broadcast and cable networks including CBS, MTV, Nickelodeon, Comedy Central, and BET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64B58E" w14:textId="77777777" w:rsidR="00F04B7E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FY2024 Revenue: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~$20.0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C95E45F" w14:textId="77777777" w:rsidR="00F04B7E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LTM EBITDA Margin: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~35%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D66FDE9" w14:textId="77777777" w:rsidR="00F04B7E" w:rsidRDefault="00000000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Cash generative segment supporting corporate liquidity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278E9E" w14:textId="77777777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l6sqdqs85x8q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Direct-to-Consumer (DTC)</w:t>
      </w:r>
    </w:p>
    <w:p w14:paraId="6F96F500" w14:textId="77777777" w:rsidR="00F04B7E" w:rsidRDefault="00000000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Paramount+ and Pluto TV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41E449" w14:textId="77777777" w:rsidR="00F04B7E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Subscribers: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~72 million globally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3DF6B8F" w14:textId="77777777" w:rsidR="00F04B7E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FY2024 Revenue: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~$7.5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D2E18C7" w14:textId="77777777" w:rsidR="00F04B7E" w:rsidRDefault="00000000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EBITDA: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$0.5) billion</w:t>
      </w:r>
      <w:r>
        <w:rPr>
          <w:rFonts w:ascii="Times New Roman" w:eastAsia="Times New Roman" w:hAnsi="Times New Roman" w:cs="Times New Roman"/>
          <w:sz w:val="24"/>
          <w:szCs w:val="24"/>
        </w:rPr>
        <w:t>, with management targeting breakeven by 2026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795D3E" w14:textId="77777777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s0f6jlow6eve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Filmed Entertainment</w:t>
      </w:r>
    </w:p>
    <w:p w14:paraId="26FAC9EC" w14:textId="77777777" w:rsidR="00F04B7E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Paramount Pictures and content licensing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2137A0" w14:textId="77777777" w:rsidR="00F04B7E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FY2024 Revenue: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~$4.0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B5FED9C" w14:textId="77777777" w:rsidR="00F04B7E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EBITDA Margin: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~15%</w:t>
      </w:r>
      <w:r>
        <w:rPr>
          <w:rFonts w:ascii="Times New Roman" w:eastAsia="Times New Roman" w:hAnsi="Times New Roman" w:cs="Times New Roman"/>
          <w:sz w:val="24"/>
          <w:szCs w:val="24"/>
        </w:rPr>
        <w:t>, driven by theatrical releases and library monetization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2B5683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company’s diversified revenue mix and owned IP provide optionality across advertising, subscription, licensing, and theatrical distribution.</w:t>
      </w:r>
    </w:p>
    <w:p w14:paraId="3BA29517" w14:textId="77777777" w:rsidR="00F04B7E" w:rsidRDefault="00F04B7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73E615B" w14:textId="77777777" w:rsidR="00F04B7E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7" w:name="_2qagiq7d1d65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Industry &amp; Market Context</w:t>
      </w:r>
    </w:p>
    <w:p w14:paraId="5F29BD45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media sector continues to experience a secular shift from linear television to streaming and digital platforms:</w:t>
      </w:r>
    </w:p>
    <w:p w14:paraId="5F4ED868" w14:textId="77777777" w:rsidR="00F04B7E" w:rsidRDefault="00000000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Linear TV advertising declining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mid-single-digit rates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6ED0ED89" w14:textId="77777777" w:rsidR="00F04B7E" w:rsidRDefault="00000000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Streaming advertising growing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high-teens rates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6035A637" w14:textId="77777777" w:rsidR="00F04B7E" w:rsidRDefault="00000000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Scale increasingly critical to content amortization and advertising efficiency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367928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dynamics have accelerated consolidation and strategic partnerships across the industry, particularly among traditional media companies seeking improved scale economics.</w:t>
      </w:r>
    </w:p>
    <w:p w14:paraId="15D29999" w14:textId="77777777" w:rsidR="00F04B7E" w:rsidRDefault="00F04B7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B5B408C" w14:textId="77777777" w:rsidR="00F04B7E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8" w:name="_v6aegi8thosb" w:colFirst="0" w:colLast="0"/>
      <w:bookmarkEnd w:id="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Valuation Overview</w:t>
      </w:r>
    </w:p>
    <w:p w14:paraId="06C81D05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Paramount was valued using Trading Comparables, Precedent Transactions, and a Discounted Cash Flow analysis.</w:t>
      </w:r>
    </w:p>
    <w:tbl>
      <w:tblPr>
        <w:tblStyle w:val="a"/>
        <w:tblW w:w="8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3260"/>
        <w:gridCol w:w="2810"/>
      </w:tblGrid>
      <w:tr w:rsidR="00F04B7E" w14:paraId="419E9BCB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FA58" w14:textId="77777777" w:rsidR="00F04B7E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DE48" w14:textId="77777777" w:rsidR="00F04B7E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Assumptions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419B" w14:textId="77777777" w:rsidR="00F04B7E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Implied Enterprise Value</w:t>
            </w:r>
          </w:p>
        </w:tc>
      </w:tr>
      <w:tr w:rsidR="00F04B7E" w14:paraId="72D9748E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9555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Trading Comparables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CEDF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5.5x – 7.0x LTM EBITDA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178E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$28.5 – $36.5bn</w:t>
            </w:r>
          </w:p>
        </w:tc>
      </w:tr>
      <w:tr w:rsidR="00F04B7E" w14:paraId="1760D2D6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60DA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Precedent Transactions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4903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7.0x – 9.0x EBITDA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ECC4F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$36.5 – $47.0bn</w:t>
            </w:r>
          </w:p>
        </w:tc>
      </w:tr>
      <w:tr w:rsidR="00F04B7E" w14:paraId="57CF06CB" w14:textId="77777777">
        <w:trPr>
          <w:trHeight w:val="7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10F0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DCF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C60B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WACC: 8.5% – 9.5%</w:t>
            </w:r>
          </w:p>
          <w:p w14:paraId="0DA55B68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Terminal Growth: 2.0% – 2.5%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05C3B" w14:textId="77777777" w:rsidR="00F04B7E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$32.0 – $40.0bn</w:t>
            </w:r>
          </w:p>
        </w:tc>
      </w:tr>
    </w:tbl>
    <w:p w14:paraId="60F5C3B2" w14:textId="0AAFFE0E" w:rsidR="003E498A" w:rsidRDefault="003E498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1nwbm3ojtnoq" w:colFirst="0" w:colLast="0"/>
      <w:bookmarkEnd w:id="9"/>
      <w:r w:rsidRPr="003E498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 DCF represents a standalone intrinsic valuation of Paramount as a going concern and does not reflect transaction-specific premiums, synergies, or control considerations.</w:t>
      </w:r>
    </w:p>
    <w:p w14:paraId="3C447EE6" w14:textId="5C952693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Current Trading (Nov 2025)</w:t>
      </w:r>
    </w:p>
    <w:p w14:paraId="2AC51FA3" w14:textId="77777777" w:rsidR="00F04B7E" w:rsidRDefault="00000000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Equity Value: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~$15.0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675B8123" w14:textId="77777777" w:rsidR="00F04B7E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Net Debt: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~$11.0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C75FC26" w14:textId="77777777" w:rsidR="00F04B7E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Implied Enterprise Value: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~$26.0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5570EE1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market implies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20–35% discount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intrinsic value, driven by near-term streaming losses and uncertainty around long-term linear TV cash flows.</w:t>
      </w:r>
    </w:p>
    <w:p w14:paraId="47E295BF" w14:textId="77777777" w:rsidR="00F04B7E" w:rsidRDefault="00F04B7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A978937" w14:textId="77777777" w:rsidR="00F04B7E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il94r04moj8o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Strategic Alternatives</w:t>
      </w:r>
    </w:p>
    <w:p w14:paraId="0277F21A" w14:textId="77777777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ivn4yga3c9zx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Sale of the Company</w:t>
      </w:r>
    </w:p>
    <w:p w14:paraId="4E8F913B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strategic or financial buyer could achieve immediate scale in content, advertising, and streaming, while realizing synergies through content rationalization, overhead reduction, and distribution efficiencies.</w:t>
      </w:r>
    </w:p>
    <w:p w14:paraId="74C370B4" w14:textId="77777777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ut1fqxi8b49k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Asset Divestitures</w:t>
      </w:r>
    </w:p>
    <w:p w14:paraId="08C7AC4B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Monetization of non-core cable networks, international assets, or real estate could generate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$3–6 billion of proceeds</w:t>
      </w:r>
      <w:r>
        <w:rPr>
          <w:rFonts w:ascii="Times New Roman" w:eastAsia="Times New Roman" w:hAnsi="Times New Roman" w:cs="Times New Roman"/>
          <w:sz w:val="24"/>
          <w:szCs w:val="24"/>
        </w:rPr>
        <w:t>, enabling debt reduction and equity value accretion.</w:t>
      </w:r>
    </w:p>
    <w:p w14:paraId="6F29794F" w14:textId="77777777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ukk752s1cc7o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Merger or Strategic Combination</w:t>
      </w:r>
    </w:p>
    <w:p w14:paraId="251FB127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combination with another media or technology platform could improve streaming unit economics, reduce content duplication, and enhance global advertising reach.</w:t>
      </w:r>
    </w:p>
    <w:p w14:paraId="4BDBFCE9" w14:textId="77777777" w:rsidR="00F04B7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1m8g8ceh96tb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Recapitalization</w:t>
      </w:r>
    </w:p>
    <w:p w14:paraId="51824505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Debt refinancing, asset-backed financing, or minority equity investment could stabilize the balance sheet while preserving strategic flexibility.</w:t>
      </w:r>
    </w:p>
    <w:p w14:paraId="0D9EAA82" w14:textId="77777777" w:rsidR="00F04B7E" w:rsidRDefault="00F04B7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B0000F7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Key Risks</w:t>
      </w:r>
    </w:p>
    <w:p w14:paraId="6A31BEFF" w14:textId="77777777" w:rsidR="00F04B7E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Faster-than-expected decline in linear television advertising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79307B" w14:textId="77777777" w:rsidR="00F04B7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Sustained streaming losses or delayed profitability inflection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1458B1D" w14:textId="77777777" w:rsidR="00F04B7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Competitive pressure from scaled global platforms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F6CCBA" w14:textId="77777777" w:rsidR="00F04B7E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Execution and regulatory risk associated with strategic transactions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18B257" w14:textId="77777777" w:rsidR="00F04B7E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5" w:name="_9tw0y9ee298p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 Conclusion</w:t>
      </w:r>
    </w:p>
    <w:p w14:paraId="147EAB58" w14:textId="77777777" w:rsidR="00F04B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Paramount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public valuation does not fully reflect the intrinsic value of its content library, brand portfolio, and long-term cash flow potential. Strategic alternatives, including a sale, divestitures, or recapitalization, represent a credible path to unlocking shareholder value and improving long-term positioning.</w:t>
      </w:r>
    </w:p>
    <w:p w14:paraId="5A800CA2" w14:textId="77777777" w:rsidR="00F04B7E" w:rsidRDefault="00F04B7E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7D718F7F" w14:textId="77777777" w:rsidR="00F04B7E" w:rsidRDefault="00F04B7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04B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32EC460-5252-2F4A-820D-DB83C43AAC32}"/>
    <w:embedBold r:id="rId2" w:fontKey="{9A167224-F1A4-A24B-8678-8F4CB4C1D09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29AF240-1566-C44E-AD06-C77865946281}"/>
    <w:embedItalic r:id="rId4" w:fontKey="{B234B7D8-CDC0-124F-946B-1B05658BA9C7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8BC5F2C4-4FD6-1548-8725-557510702353}"/>
  </w:font>
  <w:font w:name="Cambria">
    <w:panose1 w:val="02040503050406030204"/>
    <w:charset w:val="00"/>
    <w:family w:val="roman"/>
    <w:notTrueType/>
    <w:pitch w:val="default"/>
    <w:embedRegular r:id="rId6" w:fontKey="{2BB7EA3E-098F-7941-8865-E0D5DA0427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64000"/>
    <w:multiLevelType w:val="multilevel"/>
    <w:tmpl w:val="276A6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5E04EB"/>
    <w:multiLevelType w:val="multilevel"/>
    <w:tmpl w:val="D1A42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470357"/>
    <w:multiLevelType w:val="multilevel"/>
    <w:tmpl w:val="8530F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D72A0C"/>
    <w:multiLevelType w:val="multilevel"/>
    <w:tmpl w:val="81B8E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866B62"/>
    <w:multiLevelType w:val="multilevel"/>
    <w:tmpl w:val="9926D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441FC8"/>
    <w:multiLevelType w:val="multilevel"/>
    <w:tmpl w:val="C818E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2454681">
    <w:abstractNumId w:val="4"/>
  </w:num>
  <w:num w:numId="2" w16cid:durableId="493453272">
    <w:abstractNumId w:val="5"/>
  </w:num>
  <w:num w:numId="3" w16cid:durableId="515316329">
    <w:abstractNumId w:val="3"/>
  </w:num>
  <w:num w:numId="4" w16cid:durableId="2007201661">
    <w:abstractNumId w:val="1"/>
  </w:num>
  <w:num w:numId="5" w16cid:durableId="626276216">
    <w:abstractNumId w:val="0"/>
  </w:num>
  <w:num w:numId="6" w16cid:durableId="1815756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B7E"/>
    <w:rsid w:val="00307037"/>
    <w:rsid w:val="003E498A"/>
    <w:rsid w:val="00F0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FE5B6"/>
  <w15:docId w15:val="{2A28C824-9693-404D-A707-00453F12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 Gaurav</cp:lastModifiedBy>
  <cp:revision>2</cp:revision>
  <dcterms:created xsi:type="dcterms:W3CDTF">2026-02-03T18:49:00Z</dcterms:created>
  <dcterms:modified xsi:type="dcterms:W3CDTF">2026-02-03T18:49:00Z</dcterms:modified>
</cp:coreProperties>
</file>