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Verizon Communication Inc.</w:t>
      </w:r>
    </w:p>
    <w:p w:rsidR="00000000" w:rsidDel="00000000" w:rsidP="00000000" w:rsidRDefault="00000000" w:rsidRPr="00000000" w14:paraId="0000000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Standalone Valuation</w:t>
      </w:r>
    </w:p>
    <w:p w:rsidR="00000000" w:rsidDel="00000000" w:rsidP="00000000" w:rsidRDefault="00000000" w:rsidRPr="00000000" w14:paraId="0000000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U.S. Telecommunication</w:t>
      </w:r>
    </w:p>
    <w:p w:rsidR="00000000" w:rsidDel="00000000" w:rsidP="00000000" w:rsidRDefault="00000000" w:rsidRPr="00000000" w14:paraId="0000000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Discounted Cash Flow</w:t>
      </w:r>
    </w:p>
    <w:p w:rsidR="00000000" w:rsidDel="00000000" w:rsidP="00000000" w:rsidRDefault="00000000" w:rsidRPr="00000000" w14:paraId="00000005">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vw3gxa97q78d" w:id="0"/>
      <w:bookmarkEnd w:id="0"/>
      <w:r w:rsidDel="00000000" w:rsidR="00000000" w:rsidRPr="00000000">
        <w:rPr>
          <w:rFonts w:ascii="Times New Roman" w:cs="Times New Roman" w:eastAsia="Times New Roman" w:hAnsi="Times New Roman"/>
          <w:b w:val="1"/>
          <w:bCs w:val="1"/>
          <w:sz w:val="34"/>
          <w:szCs w:val="34"/>
          <w:rtl w:val="0"/>
        </w:rPr>
        <w:t xml:space="preserve">Executive Summary</w:t>
      </w:r>
    </w:p>
    <w:p w:rsidR="00000000" w:rsidDel="00000000" w:rsidP="00000000" w:rsidRDefault="00000000" w:rsidRPr="00000000" w14:paraId="0000000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conducted a standalone DCF valuation of Verizon Communications Inc. to assess its intrinsic equity value based on projected free cash flows and long-term terminal assumptions. Our analysis indicates that Verizon’s valuation is primarily supported by stable, predictable cash flows and dividend yield, offset by limited long-term growth and sustained capital intensity. Under our base-case assumptions, the implied equity value suggests modest upside/downside relative to the current market price, with valuation sensitivity driven primarily by the cost of capital and terminal growth assumptions.</w:t>
      </w:r>
    </w:p>
    <w:p w:rsidR="00000000" w:rsidDel="00000000" w:rsidP="00000000" w:rsidRDefault="00000000" w:rsidRPr="00000000" w14:paraId="00000007">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xf8nf2vwca6j" w:id="1"/>
      <w:bookmarkEnd w:id="1"/>
      <w:r w:rsidDel="00000000" w:rsidR="00000000" w:rsidRPr="00000000">
        <w:rPr>
          <w:rFonts w:ascii="Times New Roman" w:cs="Times New Roman" w:eastAsia="Times New Roman" w:hAnsi="Times New Roman"/>
          <w:b w:val="1"/>
          <w:bCs w:val="1"/>
          <w:sz w:val="34"/>
          <w:szCs w:val="34"/>
          <w:rtl w:val="0"/>
        </w:rPr>
        <w:t xml:space="preserve">Business Overview</w:t>
      </w:r>
    </w:p>
    <w:p w:rsidR="00000000" w:rsidDel="00000000" w:rsidP="00000000" w:rsidRDefault="00000000" w:rsidRPr="00000000" w14:paraId="0000000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Verizon is one of the largest wireless and broadband service providers in the United States, operating in a mature and highly regulated telecommunications market. The company benefits from scale, network quality, and a large postpaid subscriber base, which provides recurring revenue and stable cash flows. However, growth prospects are constrained by market saturation, pricing competition, and ongoing capital expenditures related to spectrum acquisition and network investment.</w:t>
      </w:r>
    </w:p>
    <w:p w:rsidR="00000000" w:rsidDel="00000000" w:rsidP="00000000" w:rsidRDefault="00000000" w:rsidRPr="00000000" w14:paraId="00000009">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d4fiaoqx7m85" w:id="2"/>
      <w:bookmarkEnd w:id="2"/>
      <w:r w:rsidDel="00000000" w:rsidR="00000000" w:rsidRPr="00000000">
        <w:rPr>
          <w:rFonts w:ascii="Times New Roman" w:cs="Times New Roman" w:eastAsia="Times New Roman" w:hAnsi="Times New Roman"/>
          <w:b w:val="1"/>
          <w:bCs w:val="1"/>
          <w:sz w:val="34"/>
          <w:szCs w:val="34"/>
          <w:rtl w:val="0"/>
        </w:rPr>
        <w:t xml:space="preserve">Key Operating Assumptions</w:t>
      </w:r>
    </w:p>
    <w:p w:rsidR="00000000" w:rsidDel="00000000" w:rsidP="00000000" w:rsidRDefault="00000000" w:rsidRPr="00000000" w14:paraId="0000000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Revenue growth is projected at conservative levels, reflecting limited subscriber growth, modest pricing increases, and competitive pressure from peers, particularly in the wireless segment. EBITDA margins are assumed to remain relatively stable over the forecast period, consistent with historical performance and management guidance. Capital expenditures remain elevated throughout the projection period, reflecting continued investment in network maintenance and 5G infrastructure, which constrains near-term free cash flow growth.</w:t>
      </w:r>
    </w:p>
    <w:p w:rsidR="00000000" w:rsidDel="00000000" w:rsidP="00000000" w:rsidRDefault="00000000" w:rsidRPr="00000000" w14:paraId="0000000B">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fowx3oz2mcvi" w:id="3"/>
      <w:bookmarkEnd w:id="3"/>
      <w:r w:rsidDel="00000000" w:rsidR="00000000" w:rsidRPr="00000000">
        <w:rPr>
          <w:rFonts w:ascii="Times New Roman" w:cs="Times New Roman" w:eastAsia="Times New Roman" w:hAnsi="Times New Roman"/>
          <w:b w:val="1"/>
          <w:bCs w:val="1"/>
          <w:sz w:val="34"/>
          <w:szCs w:val="34"/>
          <w:rtl w:val="0"/>
        </w:rPr>
        <w:t xml:space="preserve">Discount Rate and Terminal Value Assumptions</w:t>
      </w:r>
    </w:p>
    <w:p w:rsidR="00000000" w:rsidDel="00000000" w:rsidP="00000000" w:rsidRDefault="00000000" w:rsidRPr="00000000" w14:paraId="0000000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weighted average cost of capital (WACC) is derived using a market-based risk-free rate, an equity risk premium consistent with mature U.S. markets, and a beta reflecting the defensive nature of large-cap telecom operators. The cost of debt is based on Verizon’s existing debt profile and observed market yields, with capital structure weights aligned to long-term targets.</w:t>
      </w:r>
    </w:p>
    <w:p w:rsidR="00000000" w:rsidDel="00000000" w:rsidP="00000000" w:rsidRDefault="00000000" w:rsidRPr="00000000" w14:paraId="0000000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Terminal value is calculated using a perpetual growth approach. Terminal growth is capped at a conservative level consistent with long-term inflation and population growth assumptions, reflecting Verizon’s position as a mature, regulated telecom operator with limited incremental subscriber growth over the long term.</w:t>
      </w:r>
    </w:p>
    <w:p w:rsidR="00000000" w:rsidDel="00000000" w:rsidP="00000000" w:rsidRDefault="00000000" w:rsidRPr="00000000" w14:paraId="0000000E">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x77yygefgnip" w:id="4"/>
      <w:bookmarkEnd w:id="4"/>
      <w:r w:rsidDel="00000000" w:rsidR="00000000" w:rsidRPr="00000000">
        <w:rPr>
          <w:rFonts w:ascii="Times New Roman" w:cs="Times New Roman" w:eastAsia="Times New Roman" w:hAnsi="Times New Roman"/>
          <w:b w:val="1"/>
          <w:bCs w:val="1"/>
          <w:sz w:val="34"/>
          <w:szCs w:val="34"/>
          <w:rtl w:val="0"/>
        </w:rPr>
        <w:t xml:space="preserve">Valuation Results</w:t>
      </w:r>
    </w:p>
    <w:p w:rsidR="00000000" w:rsidDel="00000000" w:rsidP="00000000" w:rsidRDefault="00000000" w:rsidRPr="00000000" w14:paraId="0000000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DCF analysis generates an implied enterprise value and corresponding equity value under base-case assumptions. The resulting implied share price indicates limited upside/downside relative to the current trading price, underscoring the market’s pricing of Verizon as a stable, income-oriented investment rather than a growth story. Sensitivity analysis highlights that valuation is most sensitive to changes in the discount rate and terminal growth assumptions, reinforcing the importance of capital market conditions in determining equity value.</w:t>
      </w:r>
    </w:p>
    <w:p w:rsidR="00000000" w:rsidDel="00000000" w:rsidP="00000000" w:rsidRDefault="00000000" w:rsidRPr="00000000" w14:paraId="00000010">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5xz0syihvs2i" w:id="5"/>
      <w:bookmarkEnd w:id="5"/>
      <w:r w:rsidDel="00000000" w:rsidR="00000000" w:rsidRPr="00000000">
        <w:rPr>
          <w:rFonts w:ascii="Times New Roman" w:cs="Times New Roman" w:eastAsia="Times New Roman" w:hAnsi="Times New Roman"/>
          <w:b w:val="1"/>
          <w:bCs w:val="1"/>
          <w:sz w:val="34"/>
          <w:szCs w:val="34"/>
          <w:rtl w:val="0"/>
        </w:rPr>
        <w:t xml:space="preserve">Key Investment Considerations</w:t>
      </w:r>
    </w:p>
    <w:p w:rsidR="00000000" w:rsidDel="00000000" w:rsidP="00000000" w:rsidRDefault="00000000" w:rsidRPr="00000000" w14:paraId="00000011">
      <w:pPr>
        <w:numPr>
          <w:ilvl w:val="0"/>
          <w:numId w:val="1"/>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Verizon’s stable cash flows and market position support valuation defensiveness, particularly in volatile market environments.</w:t>
        <w:br w:type="textWrapping"/>
      </w:r>
    </w:p>
    <w:p w:rsidR="00000000" w:rsidDel="00000000" w:rsidP="00000000" w:rsidRDefault="00000000" w:rsidRPr="00000000" w14:paraId="00000012">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Sustained capital expenditures and competitive dynamics limit free cash flow expansion and long-term growth potential.</w:t>
        <w:br w:type="textWrapping"/>
      </w:r>
    </w:p>
    <w:p w:rsidR="00000000" w:rsidDel="00000000" w:rsidP="00000000" w:rsidRDefault="00000000" w:rsidRPr="00000000" w14:paraId="00000013">
      <w:pPr>
        <w:numPr>
          <w:ilvl w:val="0"/>
          <w:numId w:val="1"/>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company’s dividend yield provides downside support to valuation, though balance sheet leverage constrains financial flexibility.</w:t>
        <w:br w:type="textWrapping"/>
      </w:r>
    </w:p>
    <w:p w:rsidR="00000000" w:rsidDel="00000000" w:rsidP="00000000" w:rsidRDefault="00000000" w:rsidRPr="00000000" w14:paraId="00000014">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e4y49ha6l0i4" w:id="6"/>
      <w:bookmarkEnd w:id="6"/>
      <w:r w:rsidDel="00000000" w:rsidR="00000000" w:rsidRPr="00000000">
        <w:rPr>
          <w:rFonts w:ascii="Times New Roman" w:cs="Times New Roman" w:eastAsia="Times New Roman" w:hAnsi="Times New Roman"/>
          <w:b w:val="1"/>
          <w:bCs w:val="1"/>
          <w:sz w:val="34"/>
          <w:szCs w:val="34"/>
          <w:rtl w:val="0"/>
        </w:rPr>
        <w:t xml:space="preserve">Conclusion</w:t>
      </w:r>
    </w:p>
    <w:p w:rsidR="00000000" w:rsidDel="00000000" w:rsidP="00000000" w:rsidRDefault="00000000" w:rsidRPr="00000000" w14:paraId="0000001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our analysis, Verizon appears fairly valued under conservative operating and terminal assumptions. While the company offers stability and income generation, upside potential is constrained by limited growth opportunities and continued capital intensity. The valuation outcome is therefore more reflective of risk mitigation and yield support than multiple expansion or growth-driven appreciation.</w:t>
      </w:r>
    </w:p>
    <w:p w:rsidR="00000000" w:rsidDel="00000000" w:rsidP="00000000" w:rsidRDefault="00000000" w:rsidRPr="00000000" w14:paraId="00000016">
      <w:pPr>
        <w:jc w:val="both"/>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