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FF1F97"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Investment Memo</w:t>
      </w:r>
    </w:p>
    <w:p w14:paraId="00000002" w14:textId="77777777" w:rsidR="00FF1F97"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Athenahealth</w:t>
      </w:r>
    </w:p>
    <w:p w14:paraId="00000003" w14:textId="451E8C0B" w:rsidR="00FF1F97"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A Cloud</w:t>
      </w:r>
      <w:r w:rsidR="0021554A">
        <w:rPr>
          <w:rFonts w:ascii="Times New Roman" w:eastAsia="Times New Roman" w:hAnsi="Times New Roman" w:cs="Times New Roman"/>
          <w:sz w:val="32"/>
          <w:szCs w:val="32"/>
        </w:rPr>
        <w:t>-</w:t>
      </w:r>
      <w:r>
        <w:rPr>
          <w:rFonts w:ascii="Times New Roman" w:eastAsia="Times New Roman" w:hAnsi="Times New Roman" w:cs="Times New Roman"/>
          <w:sz w:val="32"/>
          <w:szCs w:val="32"/>
        </w:rPr>
        <w:t>Based Health Technology Company</w:t>
      </w:r>
    </w:p>
    <w:p w14:paraId="00000004" w14:textId="77777777" w:rsidR="00FF1F97"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Proposed by Bain Capital</w:t>
      </w:r>
    </w:p>
    <w:p w14:paraId="00000005" w14:textId="77777777" w:rsidR="00FF1F97" w:rsidRDefault="00FF1F97">
      <w:pPr>
        <w:rPr>
          <w:rFonts w:ascii="Times New Roman" w:eastAsia="Times New Roman" w:hAnsi="Times New Roman" w:cs="Times New Roman"/>
          <w:sz w:val="10"/>
          <w:szCs w:val="10"/>
        </w:rPr>
      </w:pPr>
    </w:p>
    <w:p w14:paraId="00000006" w14:textId="77777777" w:rsidR="00FF1F97"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Date- November 2025</w:t>
      </w:r>
    </w:p>
    <w:p w14:paraId="00000007" w14:textId="77777777" w:rsidR="00FF1F97" w:rsidRDefault="00000000">
      <w:pPr>
        <w:pStyle w:val="Heading2"/>
        <w:keepNext w:val="0"/>
        <w:keepLines w:val="0"/>
        <w:spacing w:after="80"/>
        <w:jc w:val="both"/>
        <w:rPr>
          <w:rFonts w:ascii="Times New Roman" w:eastAsia="Times New Roman" w:hAnsi="Times New Roman" w:cs="Times New Roman"/>
          <w:b/>
          <w:bCs/>
          <w:sz w:val="34"/>
          <w:szCs w:val="34"/>
        </w:rPr>
      </w:pPr>
      <w:bookmarkStart w:id="0" w:name="_6v592vnuclwp" w:colFirst="0" w:colLast="0"/>
      <w:bookmarkEnd w:id="0"/>
      <w:r>
        <w:rPr>
          <w:rFonts w:ascii="Times New Roman" w:eastAsia="Times New Roman" w:hAnsi="Times New Roman" w:cs="Times New Roman"/>
          <w:b/>
          <w:bCs/>
          <w:sz w:val="34"/>
          <w:szCs w:val="34"/>
        </w:rPr>
        <w:t>1. Executive Summary</w:t>
      </w:r>
    </w:p>
    <w:p w14:paraId="00000008" w14:textId="77777777" w:rsidR="00FF1F97"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Athenahealth is a leading provider of cloud-based healthcare information technology solutions, offering electronic health records (“EHR”), revenue cycle management (“RCM”), and patient engagement tools to hospitals, physician practices, and healthcare systems. The company benefits from highly recurring subscription revenue, strong customer retention, and mission-critical software embedded in clinical workflows.</w:t>
      </w:r>
    </w:p>
    <w:p w14:paraId="00000009" w14:textId="3F03D9E3" w:rsidR="00FF1F97"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Bain Capital proposes to acquire Athenahealth in a leveraged buyout at an enterprise value of </w:t>
      </w:r>
      <w:r>
        <w:rPr>
          <w:rFonts w:ascii="Times New Roman" w:eastAsia="Times New Roman" w:hAnsi="Times New Roman" w:cs="Times New Roman"/>
          <w:b/>
          <w:bCs/>
          <w:sz w:val="24"/>
          <w:szCs w:val="24"/>
        </w:rPr>
        <w:t>$17.0 billion</w:t>
      </w:r>
      <w:r>
        <w:rPr>
          <w:rFonts w:ascii="Times New Roman" w:eastAsia="Times New Roman" w:hAnsi="Times New Roman" w:cs="Times New Roman"/>
          <w:sz w:val="24"/>
          <w:szCs w:val="24"/>
        </w:rPr>
        <w:t xml:space="preserve">, representing </w:t>
      </w:r>
      <w:r w:rsidR="00724C37" w:rsidRPr="00724C37">
        <w:rPr>
          <w:rFonts w:ascii="Times New Roman" w:eastAsia="Times New Roman" w:hAnsi="Times New Roman" w:cs="Times New Roman"/>
          <w:b/>
          <w:bCs/>
          <w:sz w:val="24"/>
          <w:szCs w:val="24"/>
        </w:rPr>
        <w:t>26.2x LTM EBITDA of approximately $710 million</w:t>
      </w:r>
      <w:r>
        <w:rPr>
          <w:rFonts w:ascii="Times New Roman" w:eastAsia="Times New Roman" w:hAnsi="Times New Roman" w:cs="Times New Roman"/>
          <w:sz w:val="24"/>
          <w:szCs w:val="24"/>
        </w:rPr>
        <w:t xml:space="preserve">. The transaction will be financed with approximately </w:t>
      </w:r>
      <w:r>
        <w:rPr>
          <w:rFonts w:ascii="Times New Roman" w:eastAsia="Times New Roman" w:hAnsi="Times New Roman" w:cs="Times New Roman"/>
          <w:b/>
          <w:bCs/>
          <w:sz w:val="24"/>
          <w:szCs w:val="24"/>
        </w:rPr>
        <w:t>56% debt ($9.5 billion)</w:t>
      </w:r>
      <w:r>
        <w:rPr>
          <w:rFonts w:ascii="Times New Roman" w:eastAsia="Times New Roman" w:hAnsi="Times New Roman" w:cs="Times New Roman"/>
          <w:sz w:val="24"/>
          <w:szCs w:val="24"/>
        </w:rPr>
        <w:t xml:space="preserve"> and </w:t>
      </w:r>
      <w:r>
        <w:rPr>
          <w:rFonts w:ascii="Times New Roman" w:eastAsia="Times New Roman" w:hAnsi="Times New Roman" w:cs="Times New Roman"/>
          <w:b/>
          <w:bCs/>
          <w:sz w:val="24"/>
          <w:szCs w:val="24"/>
        </w:rPr>
        <w:t>44% equity ($7.5 billion)</w:t>
      </w:r>
      <w:r>
        <w:rPr>
          <w:rFonts w:ascii="Times New Roman" w:eastAsia="Times New Roman" w:hAnsi="Times New Roman" w:cs="Times New Roman"/>
          <w:sz w:val="24"/>
          <w:szCs w:val="24"/>
        </w:rPr>
        <w:t>, resulting in a balanced capital structure that supports operational flexibility while enabling meaningful equity upside.</w:t>
      </w:r>
    </w:p>
    <w:p w14:paraId="0000000A" w14:textId="77777777" w:rsidR="00FF1F97"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Under base-case assumptions, including mid-single-digit revenue growth, EBITDA margin expansion to </w:t>
      </w:r>
      <w:r>
        <w:rPr>
          <w:rFonts w:ascii="Times New Roman" w:eastAsia="Times New Roman" w:hAnsi="Times New Roman" w:cs="Times New Roman"/>
          <w:b/>
          <w:bCs/>
          <w:sz w:val="24"/>
          <w:szCs w:val="24"/>
        </w:rPr>
        <w:t>~45%</w:t>
      </w:r>
      <w:r>
        <w:rPr>
          <w:rFonts w:ascii="Times New Roman" w:eastAsia="Times New Roman" w:hAnsi="Times New Roman" w:cs="Times New Roman"/>
          <w:sz w:val="24"/>
          <w:szCs w:val="24"/>
        </w:rPr>
        <w:t xml:space="preserve">, and a conservative </w:t>
      </w:r>
      <w:r>
        <w:rPr>
          <w:rFonts w:ascii="Times New Roman" w:eastAsia="Times New Roman" w:hAnsi="Times New Roman" w:cs="Times New Roman"/>
          <w:b/>
          <w:bCs/>
          <w:sz w:val="24"/>
          <w:szCs w:val="24"/>
        </w:rPr>
        <w:t>24.0x exit multiple</w:t>
      </w:r>
      <w:r>
        <w:rPr>
          <w:rFonts w:ascii="Times New Roman" w:eastAsia="Times New Roman" w:hAnsi="Times New Roman" w:cs="Times New Roman"/>
          <w:sz w:val="24"/>
          <w:szCs w:val="24"/>
        </w:rPr>
        <w:t xml:space="preserve">, the investment is expected to generate an equity IRR of approximately </w:t>
      </w:r>
      <w:r>
        <w:rPr>
          <w:rFonts w:ascii="Times New Roman" w:eastAsia="Times New Roman" w:hAnsi="Times New Roman" w:cs="Times New Roman"/>
          <w:b/>
          <w:bCs/>
          <w:sz w:val="24"/>
          <w:szCs w:val="24"/>
        </w:rPr>
        <w:t>27%</w:t>
      </w:r>
      <w:r>
        <w:rPr>
          <w:rFonts w:ascii="Times New Roman" w:eastAsia="Times New Roman" w:hAnsi="Times New Roman" w:cs="Times New Roman"/>
          <w:sz w:val="24"/>
          <w:szCs w:val="24"/>
        </w:rPr>
        <w:t xml:space="preserve"> and a </w:t>
      </w:r>
      <w:r>
        <w:rPr>
          <w:rFonts w:ascii="Times New Roman" w:eastAsia="Times New Roman" w:hAnsi="Times New Roman" w:cs="Times New Roman"/>
          <w:b/>
          <w:bCs/>
          <w:sz w:val="24"/>
          <w:szCs w:val="24"/>
        </w:rPr>
        <w:t>2.9x MOIC</w:t>
      </w:r>
      <w:r>
        <w:rPr>
          <w:rFonts w:ascii="Times New Roman" w:eastAsia="Times New Roman" w:hAnsi="Times New Roman" w:cs="Times New Roman"/>
          <w:sz w:val="24"/>
          <w:szCs w:val="24"/>
        </w:rPr>
        <w:t xml:space="preserve"> over a </w:t>
      </w:r>
      <w:r>
        <w:rPr>
          <w:rFonts w:ascii="Times New Roman" w:eastAsia="Times New Roman" w:hAnsi="Times New Roman" w:cs="Times New Roman"/>
          <w:b/>
          <w:bCs/>
          <w:sz w:val="24"/>
          <w:szCs w:val="24"/>
        </w:rPr>
        <w:t>five-year holding period</w:t>
      </w:r>
      <w:r>
        <w:rPr>
          <w:rFonts w:ascii="Times New Roman" w:eastAsia="Times New Roman" w:hAnsi="Times New Roman" w:cs="Times New Roman"/>
          <w:sz w:val="24"/>
          <w:szCs w:val="24"/>
        </w:rPr>
        <w:t>. Returns are driven primarily by EBITDA growth and free-cash-flow-driven deleveraging, with no reliance on multiple expansion.</w:t>
      </w:r>
    </w:p>
    <w:p w14:paraId="0000000B" w14:textId="77777777" w:rsidR="00FF1F97" w:rsidRDefault="00FF1F97">
      <w:pPr>
        <w:spacing w:after="120" w:line="360" w:lineRule="auto"/>
        <w:jc w:val="both"/>
        <w:rPr>
          <w:rFonts w:ascii="Times New Roman" w:eastAsia="Times New Roman" w:hAnsi="Times New Roman" w:cs="Times New Roman"/>
          <w:sz w:val="24"/>
          <w:szCs w:val="24"/>
        </w:rPr>
      </w:pPr>
    </w:p>
    <w:p w14:paraId="0000000C" w14:textId="77777777" w:rsidR="00FF1F97" w:rsidRDefault="00FF1F97">
      <w:pPr>
        <w:spacing w:before="240" w:after="240"/>
        <w:jc w:val="both"/>
        <w:rPr>
          <w:rFonts w:ascii="Times New Roman" w:eastAsia="Times New Roman" w:hAnsi="Times New Roman" w:cs="Times New Roman"/>
          <w:sz w:val="24"/>
          <w:szCs w:val="24"/>
        </w:rPr>
      </w:pPr>
    </w:p>
    <w:p w14:paraId="0000000D" w14:textId="77777777" w:rsidR="00FF1F97" w:rsidRDefault="00000000">
      <w:pPr>
        <w:pStyle w:val="Heading2"/>
        <w:keepNext w:val="0"/>
        <w:keepLines w:val="0"/>
        <w:spacing w:before="120" w:after="80" w:line="216" w:lineRule="auto"/>
        <w:jc w:val="both"/>
        <w:rPr>
          <w:rFonts w:ascii="Times New Roman" w:eastAsia="Times New Roman" w:hAnsi="Times New Roman" w:cs="Times New Roman"/>
          <w:b/>
          <w:bCs/>
          <w:sz w:val="34"/>
          <w:szCs w:val="34"/>
        </w:rPr>
      </w:pPr>
      <w:bookmarkStart w:id="1" w:name="_y6gonbwminz0" w:colFirst="0" w:colLast="0"/>
      <w:bookmarkEnd w:id="1"/>
      <w:r>
        <w:rPr>
          <w:rFonts w:ascii="Times New Roman" w:eastAsia="Times New Roman" w:hAnsi="Times New Roman" w:cs="Times New Roman"/>
          <w:b/>
          <w:bCs/>
          <w:sz w:val="34"/>
          <w:szCs w:val="34"/>
        </w:rPr>
        <w:t>2. Business Overview</w:t>
      </w:r>
    </w:p>
    <w:p w14:paraId="0000000E" w14:textId="77777777" w:rsidR="00FF1F97" w:rsidRDefault="00000000">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Athenahealth provides a cloud-based software platform that enables healthcare providers to manage clinical documentation, billing, and patient communications. The platform is deeply integrated into customer workflows, resulting in high switching costs and stable, recurring revenue.</w:t>
      </w:r>
    </w:p>
    <w:p w14:paraId="0000000F" w14:textId="77777777" w:rsidR="00FF1F97" w:rsidRDefault="00000000">
      <w:pPr>
        <w:spacing w:before="240" w:after="24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Key attributes include:</w:t>
      </w:r>
    </w:p>
    <w:p w14:paraId="00000010" w14:textId="77777777" w:rsidR="00FF1F97" w:rsidRDefault="00000000">
      <w:pPr>
        <w:numPr>
          <w:ilvl w:val="0"/>
          <w:numId w:val="2"/>
        </w:numPr>
        <w:spacing w:before="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Subscription-based revenue with predictable cash flows</w:t>
      </w:r>
      <w:r>
        <w:rPr>
          <w:rFonts w:ascii="Times New Roman" w:eastAsia="Times New Roman" w:hAnsi="Times New Roman" w:cs="Times New Roman"/>
          <w:sz w:val="24"/>
          <w:szCs w:val="24"/>
        </w:rPr>
        <w:br/>
      </w:r>
    </w:p>
    <w:p w14:paraId="00000011" w14:textId="77777777" w:rsidR="00FF1F97" w:rsidRDefault="00000000">
      <w:pPr>
        <w:numPr>
          <w:ilvl w:val="0"/>
          <w:numId w:val="2"/>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High customer retention and switching costs</w:t>
      </w:r>
      <w:r>
        <w:rPr>
          <w:rFonts w:ascii="Times New Roman" w:eastAsia="Times New Roman" w:hAnsi="Times New Roman" w:cs="Times New Roman"/>
          <w:sz w:val="24"/>
          <w:szCs w:val="24"/>
        </w:rPr>
        <w:br/>
      </w:r>
    </w:p>
    <w:p w14:paraId="00000012" w14:textId="77777777" w:rsidR="00FF1F97" w:rsidRDefault="00000000">
      <w:pPr>
        <w:numPr>
          <w:ilvl w:val="0"/>
          <w:numId w:val="2"/>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Scalable SaaS platform with operating leverage</w:t>
      </w:r>
      <w:r>
        <w:rPr>
          <w:rFonts w:ascii="Times New Roman" w:eastAsia="Times New Roman" w:hAnsi="Times New Roman" w:cs="Times New Roman"/>
          <w:sz w:val="24"/>
          <w:szCs w:val="24"/>
        </w:rPr>
        <w:br/>
      </w:r>
    </w:p>
    <w:p w14:paraId="00000013" w14:textId="77777777" w:rsidR="00FF1F97" w:rsidRDefault="00000000">
      <w:pPr>
        <w:numPr>
          <w:ilvl w:val="0"/>
          <w:numId w:val="2"/>
        </w:numPr>
        <w:spacing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Data and analytics capabilities that enhance product stickiness</w:t>
      </w:r>
      <w:r>
        <w:rPr>
          <w:rFonts w:ascii="Times New Roman" w:eastAsia="Times New Roman" w:hAnsi="Times New Roman" w:cs="Times New Roman"/>
          <w:sz w:val="24"/>
          <w:szCs w:val="24"/>
        </w:rPr>
        <w:br/>
      </w:r>
    </w:p>
    <w:p w14:paraId="00000014" w14:textId="77777777" w:rsidR="00FF1F97" w:rsidRDefault="00000000">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of LTM, Athenahealth served approximately </w:t>
      </w:r>
      <w:r>
        <w:rPr>
          <w:rFonts w:ascii="Times New Roman" w:eastAsia="Times New Roman" w:hAnsi="Times New Roman" w:cs="Times New Roman"/>
          <w:b/>
          <w:bCs/>
          <w:sz w:val="24"/>
          <w:szCs w:val="24"/>
        </w:rPr>
        <w:t>160,000 providers</w:t>
      </w:r>
      <w:r>
        <w:rPr>
          <w:rFonts w:ascii="Times New Roman" w:eastAsia="Times New Roman" w:hAnsi="Times New Roman" w:cs="Times New Roman"/>
          <w:sz w:val="24"/>
          <w:szCs w:val="24"/>
        </w:rPr>
        <w:t xml:space="preserve">, generating average revenue per provider of approximately </w:t>
      </w:r>
      <w:r>
        <w:rPr>
          <w:rFonts w:ascii="Times New Roman" w:eastAsia="Times New Roman" w:hAnsi="Times New Roman" w:cs="Times New Roman"/>
          <w:b/>
          <w:bCs/>
          <w:sz w:val="24"/>
          <w:szCs w:val="24"/>
        </w:rPr>
        <w:t>$11,400</w:t>
      </w:r>
      <w:r>
        <w:rPr>
          <w:rFonts w:ascii="Times New Roman" w:eastAsia="Times New Roman" w:hAnsi="Times New Roman" w:cs="Times New Roman"/>
          <w:sz w:val="24"/>
          <w:szCs w:val="24"/>
        </w:rPr>
        <w:t>, underscoring the platform’s scale and monetization potential.</w:t>
      </w:r>
      <w:r>
        <w:rPr>
          <w:rFonts w:ascii="Times New Roman" w:eastAsia="Times New Roman" w:hAnsi="Times New Roman" w:cs="Times New Roman"/>
          <w:sz w:val="24"/>
          <w:szCs w:val="24"/>
        </w:rPr>
        <w:br/>
      </w:r>
    </w:p>
    <w:p w14:paraId="00000015" w14:textId="77777777" w:rsidR="00FF1F97" w:rsidRDefault="00FF1F97">
      <w:pPr>
        <w:spacing w:before="120" w:after="80" w:line="240" w:lineRule="auto"/>
        <w:jc w:val="both"/>
        <w:rPr>
          <w:rFonts w:ascii="Times New Roman" w:eastAsia="Times New Roman" w:hAnsi="Times New Roman" w:cs="Times New Roman"/>
          <w:sz w:val="24"/>
          <w:szCs w:val="24"/>
        </w:rPr>
      </w:pPr>
    </w:p>
    <w:p w14:paraId="00000016" w14:textId="77777777" w:rsidR="00FF1F97" w:rsidRDefault="00000000">
      <w:pPr>
        <w:pStyle w:val="Heading2"/>
        <w:keepNext w:val="0"/>
        <w:keepLines w:val="0"/>
        <w:spacing w:before="120" w:after="80" w:line="216" w:lineRule="auto"/>
        <w:jc w:val="both"/>
        <w:rPr>
          <w:rFonts w:ascii="Times New Roman" w:eastAsia="Times New Roman" w:hAnsi="Times New Roman" w:cs="Times New Roman"/>
          <w:b/>
          <w:bCs/>
          <w:sz w:val="34"/>
          <w:szCs w:val="34"/>
        </w:rPr>
      </w:pPr>
      <w:bookmarkStart w:id="2" w:name="_nbllu37gvhfp" w:colFirst="0" w:colLast="0"/>
      <w:bookmarkEnd w:id="2"/>
      <w:r>
        <w:rPr>
          <w:rFonts w:ascii="Times New Roman" w:eastAsia="Times New Roman" w:hAnsi="Times New Roman" w:cs="Times New Roman"/>
          <w:b/>
          <w:bCs/>
          <w:sz w:val="34"/>
          <w:szCs w:val="34"/>
        </w:rPr>
        <w:t>3. Investment Thesis</w:t>
      </w:r>
    </w:p>
    <w:p w14:paraId="00000017" w14:textId="77777777" w:rsidR="00FF1F97" w:rsidRDefault="00000000">
      <w:pPr>
        <w:spacing w:before="240" w:after="240" w:line="21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Bain’s investment thesis is supported by four core value-creation drivers:</w:t>
      </w:r>
    </w:p>
    <w:p w14:paraId="00000018" w14:textId="77777777" w:rsidR="00FF1F97" w:rsidRDefault="00000000">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Recurring Revenue Stability</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Subscription contracts and embedded workflows provide predictable cash flows and downside protection, supporting leverage.</w:t>
      </w:r>
    </w:p>
    <w:p w14:paraId="00000019" w14:textId="77777777" w:rsidR="00FF1F97" w:rsidRDefault="00000000">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Revenue Growth</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Growth</w:t>
      </w:r>
      <w:proofErr w:type="spellEnd"/>
      <w:r>
        <w:rPr>
          <w:rFonts w:ascii="Times New Roman" w:eastAsia="Times New Roman" w:hAnsi="Times New Roman" w:cs="Times New Roman"/>
          <w:sz w:val="24"/>
          <w:szCs w:val="24"/>
        </w:rPr>
        <w:t xml:space="preserve"> is driven by modest provider additions (3–4% annually) and pricing / ARPU expansion (2–3%), resulting in total revenue growth of </w:t>
      </w:r>
      <w:r>
        <w:rPr>
          <w:rFonts w:ascii="Times New Roman" w:eastAsia="Times New Roman" w:hAnsi="Times New Roman" w:cs="Times New Roman"/>
          <w:b/>
          <w:bCs/>
          <w:sz w:val="24"/>
          <w:szCs w:val="24"/>
        </w:rPr>
        <w:t>6–7% per year</w:t>
      </w:r>
      <w:r>
        <w:rPr>
          <w:rFonts w:ascii="Times New Roman" w:eastAsia="Times New Roman" w:hAnsi="Times New Roman" w:cs="Times New Roman"/>
          <w:sz w:val="24"/>
          <w:szCs w:val="24"/>
        </w:rPr>
        <w:t>.</w:t>
      </w:r>
    </w:p>
    <w:p w14:paraId="0000001A" w14:textId="77777777" w:rsidR="00FF1F97" w:rsidRDefault="00000000">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Margin Expansion</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EBITDA margins are projected to expand from </w:t>
      </w:r>
      <w:r>
        <w:rPr>
          <w:rFonts w:ascii="Times New Roman" w:eastAsia="Times New Roman" w:hAnsi="Times New Roman" w:cs="Times New Roman"/>
          <w:b/>
          <w:bCs/>
          <w:sz w:val="24"/>
          <w:szCs w:val="24"/>
        </w:rPr>
        <w:t>39% LTM to 45% by exit</w:t>
      </w:r>
      <w:r>
        <w:rPr>
          <w:rFonts w:ascii="Times New Roman" w:eastAsia="Times New Roman" w:hAnsi="Times New Roman" w:cs="Times New Roman"/>
          <w:sz w:val="24"/>
          <w:szCs w:val="24"/>
        </w:rPr>
        <w:t>, driven by operating leverage, cloud optimization, and disciplined SG&amp;A management.</w:t>
      </w:r>
    </w:p>
    <w:p w14:paraId="0000001B" w14:textId="77777777" w:rsidR="00FF1F97" w:rsidRDefault="00000000">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Free Cash Flow–Driven Deleveraging</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Strong cash conversion enables rapid senior debt paydown, reducing net leverage from </w:t>
      </w:r>
      <w:r>
        <w:rPr>
          <w:rFonts w:ascii="Times New Roman" w:eastAsia="Times New Roman" w:hAnsi="Times New Roman" w:cs="Times New Roman"/>
          <w:b/>
          <w:bCs/>
          <w:sz w:val="24"/>
          <w:szCs w:val="24"/>
        </w:rPr>
        <w:t>13.4x at entry to 4.9x by exit</w:t>
      </w:r>
      <w:r>
        <w:rPr>
          <w:rFonts w:ascii="Times New Roman" w:eastAsia="Times New Roman" w:hAnsi="Times New Roman" w:cs="Times New Roman"/>
          <w:sz w:val="24"/>
          <w:szCs w:val="24"/>
        </w:rPr>
        <w:t>, materially increasing equity value.</w:t>
      </w:r>
    </w:p>
    <w:p w14:paraId="0000001C" w14:textId="77777777" w:rsidR="00FF1F97" w:rsidRDefault="00FF1F97">
      <w:pPr>
        <w:spacing w:before="240" w:after="240" w:line="216" w:lineRule="auto"/>
        <w:jc w:val="both"/>
        <w:rPr>
          <w:rFonts w:ascii="Times New Roman" w:eastAsia="Times New Roman" w:hAnsi="Times New Roman" w:cs="Times New Roman"/>
          <w:sz w:val="24"/>
          <w:szCs w:val="24"/>
        </w:rPr>
      </w:pPr>
    </w:p>
    <w:p w14:paraId="0000001D" w14:textId="77777777" w:rsidR="00FF1F97" w:rsidRDefault="00FF1F97">
      <w:pPr>
        <w:spacing w:before="120" w:after="80" w:line="216" w:lineRule="auto"/>
        <w:jc w:val="both"/>
        <w:rPr>
          <w:rFonts w:ascii="Times New Roman" w:eastAsia="Times New Roman" w:hAnsi="Times New Roman" w:cs="Times New Roman"/>
          <w:sz w:val="24"/>
          <w:szCs w:val="24"/>
        </w:rPr>
      </w:pPr>
    </w:p>
    <w:p w14:paraId="0000001E" w14:textId="77777777" w:rsidR="00FF1F97" w:rsidRDefault="00000000">
      <w:pPr>
        <w:pStyle w:val="Heading2"/>
        <w:keepNext w:val="0"/>
        <w:keepLines w:val="0"/>
        <w:spacing w:before="120" w:after="80" w:line="216" w:lineRule="auto"/>
        <w:jc w:val="both"/>
        <w:rPr>
          <w:rFonts w:ascii="Times New Roman" w:eastAsia="Times New Roman" w:hAnsi="Times New Roman" w:cs="Times New Roman"/>
          <w:b/>
          <w:bCs/>
          <w:sz w:val="34"/>
          <w:szCs w:val="34"/>
        </w:rPr>
      </w:pPr>
      <w:bookmarkStart w:id="3" w:name="_idm7eywd8jcn" w:colFirst="0" w:colLast="0"/>
      <w:bookmarkEnd w:id="3"/>
      <w:r>
        <w:rPr>
          <w:rFonts w:ascii="Times New Roman" w:eastAsia="Times New Roman" w:hAnsi="Times New Roman" w:cs="Times New Roman"/>
          <w:b/>
          <w:bCs/>
          <w:sz w:val="34"/>
          <w:szCs w:val="34"/>
        </w:rPr>
        <w:t>4. Transaction Structure</w:t>
      </w:r>
    </w:p>
    <w:p w14:paraId="0000001F" w14:textId="77777777" w:rsidR="00FF1F97" w:rsidRDefault="00000000">
      <w:pPr>
        <w:spacing w:before="240" w:after="240" w:line="21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proposed acquisition will be funded through the following sources:</w:t>
      </w:r>
    </w:p>
    <w:p w14:paraId="00000020" w14:textId="77777777" w:rsidR="00FF1F97" w:rsidRDefault="00000000">
      <w:pPr>
        <w:numPr>
          <w:ilvl w:val="0"/>
          <w:numId w:val="3"/>
        </w:numPr>
        <w:spacing w:before="240" w:line="216"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$6.0 billion Senior Secured Term Loan B</w:t>
      </w:r>
      <w:r>
        <w:rPr>
          <w:rFonts w:ascii="Times New Roman" w:eastAsia="Times New Roman" w:hAnsi="Times New Roman" w:cs="Times New Roman"/>
          <w:b/>
          <w:bCs/>
          <w:sz w:val="24"/>
          <w:szCs w:val="24"/>
        </w:rPr>
        <w:br/>
      </w:r>
    </w:p>
    <w:p w14:paraId="00000021" w14:textId="77777777" w:rsidR="00FF1F97" w:rsidRDefault="00000000">
      <w:pPr>
        <w:numPr>
          <w:ilvl w:val="0"/>
          <w:numId w:val="3"/>
        </w:numPr>
        <w:spacing w:line="216"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$3.5 billion Subordinated Debt</w:t>
      </w:r>
      <w:r>
        <w:rPr>
          <w:rFonts w:ascii="Times New Roman" w:eastAsia="Times New Roman" w:hAnsi="Times New Roman" w:cs="Times New Roman"/>
          <w:b/>
          <w:bCs/>
          <w:sz w:val="24"/>
          <w:szCs w:val="24"/>
        </w:rPr>
        <w:br/>
      </w:r>
    </w:p>
    <w:p w14:paraId="00000022" w14:textId="77777777" w:rsidR="00FF1F97" w:rsidRDefault="00000000">
      <w:pPr>
        <w:numPr>
          <w:ilvl w:val="0"/>
          <w:numId w:val="3"/>
        </w:numPr>
        <w:spacing w:after="240" w:line="216"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$7.5 billion Bain Capital Equity Contribution</w:t>
      </w:r>
      <w:r>
        <w:rPr>
          <w:rFonts w:ascii="Times New Roman" w:eastAsia="Times New Roman" w:hAnsi="Times New Roman" w:cs="Times New Roman"/>
          <w:b/>
          <w:bCs/>
          <w:sz w:val="24"/>
          <w:szCs w:val="24"/>
        </w:rPr>
        <w:br/>
      </w:r>
    </w:p>
    <w:p w14:paraId="00000023" w14:textId="77777777" w:rsidR="00FF1F97"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resulting capital structure balances return optimization with sufficient liquidity and covenant headroom, while prioritizing senior debt repayment through 100% excess cash sweep.</w:t>
      </w:r>
    </w:p>
    <w:p w14:paraId="00000024" w14:textId="77777777" w:rsidR="00FF1F97" w:rsidRDefault="00FF1F97">
      <w:pPr>
        <w:spacing w:before="120" w:after="80" w:line="216" w:lineRule="auto"/>
        <w:jc w:val="both"/>
        <w:rPr>
          <w:rFonts w:ascii="Times New Roman" w:eastAsia="Times New Roman" w:hAnsi="Times New Roman" w:cs="Times New Roman"/>
          <w:sz w:val="24"/>
          <w:szCs w:val="24"/>
        </w:rPr>
      </w:pPr>
    </w:p>
    <w:p w14:paraId="00000025" w14:textId="77777777" w:rsidR="00FF1F97" w:rsidRDefault="00000000">
      <w:pPr>
        <w:pStyle w:val="Heading2"/>
        <w:keepNext w:val="0"/>
        <w:keepLines w:val="0"/>
        <w:spacing w:before="120" w:after="80" w:line="216" w:lineRule="auto"/>
        <w:jc w:val="both"/>
        <w:rPr>
          <w:rFonts w:ascii="Times New Roman" w:eastAsia="Times New Roman" w:hAnsi="Times New Roman" w:cs="Times New Roman"/>
          <w:b/>
          <w:bCs/>
          <w:sz w:val="34"/>
          <w:szCs w:val="34"/>
        </w:rPr>
      </w:pPr>
      <w:bookmarkStart w:id="4" w:name="_y1l1buql1y1" w:colFirst="0" w:colLast="0"/>
      <w:bookmarkEnd w:id="4"/>
      <w:r>
        <w:rPr>
          <w:rFonts w:ascii="Times New Roman" w:eastAsia="Times New Roman" w:hAnsi="Times New Roman" w:cs="Times New Roman"/>
          <w:b/>
          <w:bCs/>
          <w:sz w:val="34"/>
          <w:szCs w:val="34"/>
        </w:rPr>
        <w:t>5. Financial Outlook</w:t>
      </w:r>
    </w:p>
    <w:p w14:paraId="00000026" w14:textId="77777777" w:rsidR="00FF1F97"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Under Bain ownership, Athenahealth is projected to:</w:t>
      </w:r>
    </w:p>
    <w:p w14:paraId="00000027" w14:textId="77777777" w:rsidR="00FF1F97" w:rsidRDefault="00000000">
      <w:pPr>
        <w:numPr>
          <w:ilvl w:val="0"/>
          <w:numId w:val="4"/>
        </w:num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Grow revenue from </w:t>
      </w:r>
      <w:r>
        <w:rPr>
          <w:rFonts w:ascii="Times New Roman" w:eastAsia="Times New Roman" w:hAnsi="Times New Roman" w:cs="Times New Roman"/>
          <w:b/>
          <w:bCs/>
          <w:sz w:val="24"/>
          <w:szCs w:val="24"/>
        </w:rPr>
        <w:t>$1.82 billion LTM to ~$2.49 billion by Year 5</w:t>
      </w:r>
      <w:r>
        <w:rPr>
          <w:rFonts w:ascii="Times New Roman" w:eastAsia="Times New Roman" w:hAnsi="Times New Roman" w:cs="Times New Roman"/>
          <w:b/>
          <w:bCs/>
          <w:sz w:val="24"/>
          <w:szCs w:val="24"/>
        </w:rPr>
        <w:br/>
      </w:r>
    </w:p>
    <w:p w14:paraId="00000028" w14:textId="77777777" w:rsidR="00FF1F97" w:rsidRDefault="00000000">
      <w:pPr>
        <w:numPr>
          <w:ilvl w:val="0"/>
          <w:numId w:val="4"/>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Increase EBITDA from </w:t>
      </w:r>
      <w:r>
        <w:rPr>
          <w:rFonts w:ascii="Times New Roman" w:eastAsia="Times New Roman" w:hAnsi="Times New Roman" w:cs="Times New Roman"/>
          <w:b/>
          <w:bCs/>
          <w:sz w:val="24"/>
          <w:szCs w:val="24"/>
        </w:rPr>
        <w:t>$710 million LTM to ~$1.12 billion by exit</w:t>
      </w:r>
      <w:r>
        <w:rPr>
          <w:rFonts w:ascii="Times New Roman" w:eastAsia="Times New Roman" w:hAnsi="Times New Roman" w:cs="Times New Roman"/>
          <w:b/>
          <w:bCs/>
          <w:sz w:val="24"/>
          <w:szCs w:val="24"/>
        </w:rPr>
        <w:br/>
      </w:r>
    </w:p>
    <w:p w14:paraId="00000029" w14:textId="77777777" w:rsidR="00FF1F97" w:rsidRDefault="00000000">
      <w:pPr>
        <w:numPr>
          <w:ilvl w:val="0"/>
          <w:numId w:val="4"/>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Generate over </w:t>
      </w:r>
      <w:r>
        <w:rPr>
          <w:rFonts w:ascii="Times New Roman" w:eastAsia="Times New Roman" w:hAnsi="Times New Roman" w:cs="Times New Roman"/>
          <w:b/>
          <w:bCs/>
          <w:sz w:val="24"/>
          <w:szCs w:val="24"/>
        </w:rPr>
        <w:t>$4.0 billion of cumulative unlevered free cash flow</w:t>
      </w:r>
      <w:r>
        <w:rPr>
          <w:rFonts w:ascii="Times New Roman" w:eastAsia="Times New Roman" w:hAnsi="Times New Roman" w:cs="Times New Roman"/>
          <w:b/>
          <w:bCs/>
          <w:sz w:val="24"/>
          <w:szCs w:val="24"/>
        </w:rPr>
        <w:br/>
      </w:r>
    </w:p>
    <w:p w14:paraId="0000002A" w14:textId="77777777" w:rsidR="00FF1F97"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Capital expenditures are expected to remain disciplined at approximately </w:t>
      </w:r>
      <w:r>
        <w:rPr>
          <w:rFonts w:ascii="Times New Roman" w:eastAsia="Times New Roman" w:hAnsi="Times New Roman" w:cs="Times New Roman"/>
          <w:b/>
          <w:bCs/>
          <w:sz w:val="24"/>
          <w:szCs w:val="24"/>
        </w:rPr>
        <w:t>3.0% of revenue</w:t>
      </w:r>
      <w:r>
        <w:rPr>
          <w:rFonts w:ascii="Times New Roman" w:eastAsia="Times New Roman" w:hAnsi="Times New Roman" w:cs="Times New Roman"/>
          <w:sz w:val="24"/>
          <w:szCs w:val="24"/>
        </w:rPr>
        <w:t>, with minimal working capital requirements due to the subscription-based model.</w:t>
      </w:r>
    </w:p>
    <w:p w14:paraId="0000002B" w14:textId="77777777" w:rsidR="00FF1F97" w:rsidRDefault="00FF1F97">
      <w:pPr>
        <w:spacing w:before="120" w:after="80" w:line="216" w:lineRule="auto"/>
        <w:jc w:val="both"/>
        <w:rPr>
          <w:rFonts w:ascii="Times New Roman" w:eastAsia="Times New Roman" w:hAnsi="Times New Roman" w:cs="Times New Roman"/>
          <w:sz w:val="24"/>
          <w:szCs w:val="24"/>
        </w:rPr>
      </w:pPr>
    </w:p>
    <w:p w14:paraId="0000002C" w14:textId="77777777" w:rsidR="00FF1F97" w:rsidRDefault="00000000">
      <w:pPr>
        <w:pStyle w:val="Heading2"/>
        <w:keepNext w:val="0"/>
        <w:keepLines w:val="0"/>
        <w:spacing w:before="120" w:after="80" w:line="216" w:lineRule="auto"/>
        <w:jc w:val="both"/>
        <w:rPr>
          <w:rFonts w:ascii="Times New Roman" w:eastAsia="Times New Roman" w:hAnsi="Times New Roman" w:cs="Times New Roman"/>
          <w:b/>
          <w:bCs/>
          <w:sz w:val="34"/>
          <w:szCs w:val="34"/>
        </w:rPr>
      </w:pPr>
      <w:bookmarkStart w:id="5" w:name="_bfj9chy8v63e" w:colFirst="0" w:colLast="0"/>
      <w:bookmarkEnd w:id="5"/>
      <w:r>
        <w:rPr>
          <w:rFonts w:ascii="Times New Roman" w:eastAsia="Times New Roman" w:hAnsi="Times New Roman" w:cs="Times New Roman"/>
          <w:b/>
          <w:bCs/>
          <w:sz w:val="34"/>
          <w:szCs w:val="34"/>
        </w:rPr>
        <w:t>6. Returns Analysis</w:t>
      </w:r>
    </w:p>
    <w:p w14:paraId="0000002D" w14:textId="77777777" w:rsidR="00FF1F97" w:rsidRDefault="00000000">
      <w:pPr>
        <w:spacing w:before="240" w:after="240" w:line="216"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Base Case Assumptions</w:t>
      </w:r>
    </w:p>
    <w:p w14:paraId="0000002E" w14:textId="77777777" w:rsidR="00FF1F97" w:rsidRDefault="00000000">
      <w:pPr>
        <w:numPr>
          <w:ilvl w:val="0"/>
          <w:numId w:val="1"/>
        </w:numPr>
        <w:spacing w:before="240" w:line="216"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Entry multiple: 26.2x LTM EBITDA</w:t>
      </w:r>
      <w:r>
        <w:rPr>
          <w:rFonts w:ascii="Times New Roman" w:eastAsia="Times New Roman" w:hAnsi="Times New Roman" w:cs="Times New Roman"/>
          <w:b/>
          <w:bCs/>
          <w:sz w:val="24"/>
          <w:szCs w:val="24"/>
        </w:rPr>
        <w:br/>
      </w:r>
    </w:p>
    <w:p w14:paraId="0000002F" w14:textId="77777777" w:rsidR="00FF1F97" w:rsidRDefault="00000000">
      <w:pPr>
        <w:numPr>
          <w:ilvl w:val="0"/>
          <w:numId w:val="1"/>
        </w:numPr>
        <w:spacing w:line="216"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Exit multiple: 24.0x EBITDA</w:t>
      </w:r>
      <w:r>
        <w:rPr>
          <w:rFonts w:ascii="Times New Roman" w:eastAsia="Times New Roman" w:hAnsi="Times New Roman" w:cs="Times New Roman"/>
          <w:b/>
          <w:bCs/>
          <w:sz w:val="24"/>
          <w:szCs w:val="24"/>
        </w:rPr>
        <w:br/>
      </w:r>
    </w:p>
    <w:p w14:paraId="00000030" w14:textId="77777777" w:rsidR="00FF1F97" w:rsidRDefault="00000000">
      <w:pPr>
        <w:numPr>
          <w:ilvl w:val="0"/>
          <w:numId w:val="1"/>
        </w:numPr>
        <w:spacing w:after="240" w:line="216"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Holding period: 5 years</w:t>
      </w:r>
      <w:r>
        <w:rPr>
          <w:rFonts w:ascii="Times New Roman" w:eastAsia="Times New Roman" w:hAnsi="Times New Roman" w:cs="Times New Roman"/>
          <w:b/>
          <w:bCs/>
          <w:sz w:val="24"/>
          <w:szCs w:val="24"/>
        </w:rPr>
        <w:br/>
      </w:r>
    </w:p>
    <w:p w14:paraId="00000031" w14:textId="77777777" w:rsidR="00FF1F97" w:rsidRDefault="00000000">
      <w:pPr>
        <w:spacing w:before="240" w:after="240" w:line="216"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Base Case Returns</w:t>
      </w:r>
    </w:p>
    <w:p w14:paraId="00000032" w14:textId="77777777" w:rsidR="00FF1F97" w:rsidRDefault="00000000">
      <w:pPr>
        <w:numPr>
          <w:ilvl w:val="0"/>
          <w:numId w:val="5"/>
        </w:numPr>
        <w:spacing w:before="240" w:line="216"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Equity invested: $7.5 billion</w:t>
      </w:r>
      <w:r>
        <w:rPr>
          <w:rFonts w:ascii="Times New Roman" w:eastAsia="Times New Roman" w:hAnsi="Times New Roman" w:cs="Times New Roman"/>
          <w:b/>
          <w:bCs/>
          <w:sz w:val="24"/>
          <w:szCs w:val="24"/>
        </w:rPr>
        <w:br/>
      </w:r>
    </w:p>
    <w:p w14:paraId="00000033" w14:textId="77777777" w:rsidR="00FF1F97" w:rsidRDefault="00000000">
      <w:pPr>
        <w:numPr>
          <w:ilvl w:val="0"/>
          <w:numId w:val="5"/>
        </w:numPr>
        <w:spacing w:line="216"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Exit equity value: $21.4 billion</w:t>
      </w:r>
      <w:r>
        <w:rPr>
          <w:rFonts w:ascii="Times New Roman" w:eastAsia="Times New Roman" w:hAnsi="Times New Roman" w:cs="Times New Roman"/>
          <w:b/>
          <w:bCs/>
          <w:sz w:val="24"/>
          <w:szCs w:val="24"/>
        </w:rPr>
        <w:br/>
      </w:r>
    </w:p>
    <w:p w14:paraId="00000034" w14:textId="77777777" w:rsidR="00FF1F97" w:rsidRDefault="00000000">
      <w:pPr>
        <w:numPr>
          <w:ilvl w:val="0"/>
          <w:numId w:val="5"/>
        </w:numPr>
        <w:spacing w:line="216"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MOIC: 2.9x</w:t>
      </w:r>
      <w:r>
        <w:rPr>
          <w:rFonts w:ascii="Times New Roman" w:eastAsia="Times New Roman" w:hAnsi="Times New Roman" w:cs="Times New Roman"/>
          <w:b/>
          <w:bCs/>
          <w:sz w:val="24"/>
          <w:szCs w:val="24"/>
        </w:rPr>
        <w:br/>
      </w:r>
    </w:p>
    <w:p w14:paraId="00000035" w14:textId="77777777" w:rsidR="00FF1F97" w:rsidRDefault="00000000">
      <w:pPr>
        <w:numPr>
          <w:ilvl w:val="0"/>
          <w:numId w:val="5"/>
        </w:numPr>
        <w:spacing w:after="240" w:line="216"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IRR: 27%</w:t>
      </w:r>
      <w:r>
        <w:rPr>
          <w:rFonts w:ascii="Times New Roman" w:eastAsia="Times New Roman" w:hAnsi="Times New Roman" w:cs="Times New Roman"/>
          <w:b/>
          <w:bCs/>
          <w:sz w:val="24"/>
          <w:szCs w:val="24"/>
        </w:rPr>
        <w:br/>
      </w:r>
    </w:p>
    <w:p w14:paraId="00000036" w14:textId="77777777" w:rsidR="00FF1F97"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Value creation is driven primarily by operating performance and deleveraging rather than financial engineering.</w:t>
      </w:r>
    </w:p>
    <w:p w14:paraId="00000037" w14:textId="77777777" w:rsidR="00FF1F97" w:rsidRDefault="00FF1F97">
      <w:pPr>
        <w:spacing w:before="120" w:after="80" w:line="216" w:lineRule="auto"/>
        <w:jc w:val="both"/>
        <w:rPr>
          <w:rFonts w:ascii="Times New Roman" w:eastAsia="Times New Roman" w:hAnsi="Times New Roman" w:cs="Times New Roman"/>
          <w:sz w:val="24"/>
          <w:szCs w:val="24"/>
        </w:rPr>
      </w:pPr>
    </w:p>
    <w:p w14:paraId="00000038" w14:textId="77777777" w:rsidR="00FF1F97" w:rsidRDefault="00000000">
      <w:pPr>
        <w:pStyle w:val="Heading2"/>
        <w:keepNext w:val="0"/>
        <w:keepLines w:val="0"/>
        <w:spacing w:before="120" w:after="80" w:line="216" w:lineRule="auto"/>
        <w:jc w:val="both"/>
        <w:rPr>
          <w:rFonts w:ascii="Times New Roman" w:eastAsia="Times New Roman" w:hAnsi="Times New Roman" w:cs="Times New Roman"/>
          <w:b/>
          <w:bCs/>
          <w:sz w:val="34"/>
          <w:szCs w:val="34"/>
        </w:rPr>
      </w:pPr>
      <w:bookmarkStart w:id="6" w:name="_peg05mix8usc" w:colFirst="0" w:colLast="0"/>
      <w:bookmarkEnd w:id="6"/>
      <w:r>
        <w:rPr>
          <w:rFonts w:ascii="Times New Roman" w:eastAsia="Times New Roman" w:hAnsi="Times New Roman" w:cs="Times New Roman"/>
          <w:b/>
          <w:bCs/>
          <w:sz w:val="34"/>
          <w:szCs w:val="34"/>
        </w:rPr>
        <w:lastRenderedPageBreak/>
        <w:t>7. Key Risks</w:t>
      </w:r>
    </w:p>
    <w:p w14:paraId="00000039" w14:textId="77777777" w:rsidR="00FF1F97" w:rsidRDefault="00000000">
      <w:pPr>
        <w:numPr>
          <w:ilvl w:val="0"/>
          <w:numId w:val="6"/>
        </w:numPr>
        <w:spacing w:before="240" w:line="21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Competitive healthcare IT landscape</w:t>
      </w:r>
      <w:r>
        <w:rPr>
          <w:rFonts w:ascii="Times New Roman" w:eastAsia="Times New Roman" w:hAnsi="Times New Roman" w:cs="Times New Roman"/>
          <w:sz w:val="24"/>
          <w:szCs w:val="24"/>
        </w:rPr>
        <w:br/>
      </w:r>
    </w:p>
    <w:p w14:paraId="0000003A" w14:textId="77777777" w:rsidR="00FF1F97" w:rsidRDefault="00000000">
      <w:pPr>
        <w:numPr>
          <w:ilvl w:val="0"/>
          <w:numId w:val="6"/>
        </w:numPr>
        <w:spacing w:line="21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Customer churn or pricing pressure</w:t>
      </w:r>
      <w:r>
        <w:rPr>
          <w:rFonts w:ascii="Times New Roman" w:eastAsia="Times New Roman" w:hAnsi="Times New Roman" w:cs="Times New Roman"/>
          <w:sz w:val="24"/>
          <w:szCs w:val="24"/>
        </w:rPr>
        <w:br/>
      </w:r>
    </w:p>
    <w:p w14:paraId="0000003B" w14:textId="77777777" w:rsidR="00FF1F97" w:rsidRDefault="00000000">
      <w:pPr>
        <w:numPr>
          <w:ilvl w:val="0"/>
          <w:numId w:val="6"/>
        </w:numPr>
        <w:spacing w:line="21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Regulatory and reimbursement changes</w:t>
      </w:r>
      <w:r>
        <w:rPr>
          <w:rFonts w:ascii="Times New Roman" w:eastAsia="Times New Roman" w:hAnsi="Times New Roman" w:cs="Times New Roman"/>
          <w:sz w:val="24"/>
          <w:szCs w:val="24"/>
        </w:rPr>
        <w:br/>
      </w:r>
    </w:p>
    <w:p w14:paraId="0000003C" w14:textId="77777777" w:rsidR="00FF1F97" w:rsidRDefault="00000000">
      <w:pPr>
        <w:numPr>
          <w:ilvl w:val="0"/>
          <w:numId w:val="6"/>
        </w:numPr>
        <w:spacing w:after="240" w:line="21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Execution risk related to margin expansion</w:t>
      </w:r>
      <w:r>
        <w:rPr>
          <w:rFonts w:ascii="Times New Roman" w:eastAsia="Times New Roman" w:hAnsi="Times New Roman" w:cs="Times New Roman"/>
          <w:sz w:val="24"/>
          <w:szCs w:val="24"/>
        </w:rPr>
        <w:br/>
      </w:r>
    </w:p>
    <w:p w14:paraId="0000003D" w14:textId="77777777" w:rsidR="00FF1F97" w:rsidRDefault="00000000">
      <w:pPr>
        <w:spacing w:before="240" w:after="24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A downside scenario incorporating slower growth, margin compression, and multiple contraction still preserves capital, generating a </w:t>
      </w:r>
      <w:r>
        <w:rPr>
          <w:rFonts w:ascii="Times New Roman" w:eastAsia="Times New Roman" w:hAnsi="Times New Roman" w:cs="Times New Roman"/>
          <w:b/>
          <w:bCs/>
          <w:sz w:val="24"/>
          <w:szCs w:val="24"/>
        </w:rPr>
        <w:t>~15–16% IRR</w:t>
      </w:r>
      <w:r>
        <w:rPr>
          <w:rFonts w:ascii="Times New Roman" w:eastAsia="Times New Roman" w:hAnsi="Times New Roman" w:cs="Times New Roman"/>
          <w:sz w:val="24"/>
          <w:szCs w:val="24"/>
        </w:rPr>
        <w:t xml:space="preserve"> and </w:t>
      </w:r>
      <w:r>
        <w:rPr>
          <w:rFonts w:ascii="Times New Roman" w:eastAsia="Times New Roman" w:hAnsi="Times New Roman" w:cs="Times New Roman"/>
          <w:b/>
          <w:bCs/>
          <w:sz w:val="24"/>
          <w:szCs w:val="24"/>
        </w:rPr>
        <w:t>~1.8x MOIC</w:t>
      </w:r>
    </w:p>
    <w:p w14:paraId="0000003E" w14:textId="77777777" w:rsidR="00FF1F97" w:rsidRDefault="00FF1F97">
      <w:pPr>
        <w:spacing w:before="120" w:after="80" w:line="216" w:lineRule="auto"/>
        <w:ind w:left="720"/>
        <w:jc w:val="both"/>
        <w:rPr>
          <w:rFonts w:ascii="Times New Roman" w:eastAsia="Times New Roman" w:hAnsi="Times New Roman" w:cs="Times New Roman"/>
          <w:b/>
          <w:bCs/>
          <w:sz w:val="24"/>
          <w:szCs w:val="24"/>
        </w:rPr>
      </w:pPr>
    </w:p>
    <w:p w14:paraId="0000003F" w14:textId="77777777" w:rsidR="00FF1F97" w:rsidRDefault="00000000">
      <w:pPr>
        <w:pStyle w:val="Heading2"/>
        <w:keepNext w:val="0"/>
        <w:keepLines w:val="0"/>
        <w:spacing w:before="120" w:after="80" w:line="216" w:lineRule="auto"/>
        <w:jc w:val="both"/>
        <w:rPr>
          <w:rFonts w:ascii="Times New Roman" w:eastAsia="Times New Roman" w:hAnsi="Times New Roman" w:cs="Times New Roman"/>
          <w:b/>
          <w:bCs/>
          <w:sz w:val="34"/>
          <w:szCs w:val="34"/>
        </w:rPr>
      </w:pPr>
      <w:bookmarkStart w:id="7" w:name="_xig5a78zl3wr" w:colFirst="0" w:colLast="0"/>
      <w:bookmarkEnd w:id="7"/>
      <w:r>
        <w:rPr>
          <w:rFonts w:ascii="Times New Roman" w:eastAsia="Times New Roman" w:hAnsi="Times New Roman" w:cs="Times New Roman"/>
          <w:b/>
          <w:bCs/>
          <w:sz w:val="34"/>
          <w:szCs w:val="34"/>
        </w:rPr>
        <w:t>8. Exit Strategy</w:t>
      </w:r>
    </w:p>
    <w:p w14:paraId="00000040" w14:textId="77777777" w:rsidR="00FF1F97"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Bain expects to exit via an IPO, sale to a strategic healthcare or technology acquirer, or a secondary private equity transaction. Improved scale, margins, and cash flow support multiple exit paths. Target exit is assumed at the end of </w:t>
      </w:r>
      <w:r>
        <w:rPr>
          <w:rFonts w:ascii="Times New Roman" w:eastAsia="Times New Roman" w:hAnsi="Times New Roman" w:cs="Times New Roman"/>
          <w:b/>
          <w:bCs/>
          <w:sz w:val="24"/>
          <w:szCs w:val="24"/>
        </w:rPr>
        <w:t>Year 5</w:t>
      </w:r>
      <w:r>
        <w:rPr>
          <w:rFonts w:ascii="Times New Roman" w:eastAsia="Times New Roman" w:hAnsi="Times New Roman" w:cs="Times New Roman"/>
          <w:sz w:val="24"/>
          <w:szCs w:val="24"/>
        </w:rPr>
        <w:t>.</w:t>
      </w:r>
    </w:p>
    <w:p w14:paraId="00000041" w14:textId="77777777" w:rsidR="00FF1F97" w:rsidRDefault="00FF1F97">
      <w:pPr>
        <w:spacing w:before="120" w:after="80" w:line="216" w:lineRule="auto"/>
        <w:jc w:val="both"/>
        <w:rPr>
          <w:rFonts w:ascii="Times New Roman" w:eastAsia="Times New Roman" w:hAnsi="Times New Roman" w:cs="Times New Roman"/>
          <w:sz w:val="24"/>
          <w:szCs w:val="24"/>
        </w:rPr>
      </w:pPr>
    </w:p>
    <w:p w14:paraId="00000042" w14:textId="77777777" w:rsidR="00FF1F97" w:rsidRDefault="00FF1F97">
      <w:pPr>
        <w:jc w:val="both"/>
        <w:rPr>
          <w:rFonts w:ascii="Times New Roman" w:eastAsia="Times New Roman" w:hAnsi="Times New Roman" w:cs="Times New Roman"/>
          <w:sz w:val="24"/>
          <w:szCs w:val="24"/>
        </w:rPr>
      </w:pPr>
    </w:p>
    <w:p w14:paraId="00000043" w14:textId="77777777" w:rsidR="00FF1F97" w:rsidRDefault="00FF1F97">
      <w:pPr>
        <w:jc w:val="both"/>
        <w:rPr>
          <w:rFonts w:ascii="Times New Roman" w:eastAsia="Times New Roman" w:hAnsi="Times New Roman" w:cs="Times New Roman"/>
          <w:sz w:val="24"/>
          <w:szCs w:val="24"/>
        </w:rPr>
      </w:pPr>
    </w:p>
    <w:sectPr w:rsidR="00FF1F9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AEF162BA-3DE6-BB4A-858C-E754D2DCA618}"/>
    <w:embedBold r:id="rId2" w:fontKey="{FE6A3E24-E5F3-034E-B232-7E63DF421F2C}"/>
  </w:font>
  <w:font w:name="Arial">
    <w:panose1 w:val="020B0604020202020204"/>
    <w:charset w:val="00"/>
    <w:family w:val="swiss"/>
    <w:pitch w:val="variable"/>
    <w:sig w:usb0="E0002AFF" w:usb1="C0007843" w:usb2="00000009" w:usb3="00000000" w:csb0="000001FF" w:csb1="00000000"/>
    <w:embedRegular r:id="rId3" w:fontKey="{664AD889-14F1-3B45-9D1E-04BAF843BE5F}"/>
    <w:embedItalic r:id="rId4" w:fontKey="{8AAC9A35-80DA-1641-B3F7-6CD6E4D9C9AC}"/>
  </w:font>
  <w:font w:name="Calibri">
    <w:panose1 w:val="020F0502020204030204"/>
    <w:charset w:val="00"/>
    <w:family w:val="modern"/>
    <w:pitch w:val="variable"/>
    <w:sig w:usb0="00000003" w:usb1="00000000" w:usb2="00000000" w:usb3="00000000" w:csb0="00000001" w:csb1="00000000"/>
    <w:embedRegular r:id="rId5" w:fontKey="{CFF0A166-2977-324A-A5B3-609317281349}"/>
  </w:font>
  <w:font w:name="Cambria">
    <w:panose1 w:val="02040503050406030204"/>
    <w:charset w:val="00"/>
    <w:family w:val="roman"/>
    <w:notTrueType/>
    <w:pitch w:val="default"/>
    <w:embedRegular r:id="rId6" w:fontKey="{A5F61A26-04B0-2444-9EA5-0E98A43B7A3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380568"/>
    <w:multiLevelType w:val="multilevel"/>
    <w:tmpl w:val="4ABC9A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B8265CE"/>
    <w:multiLevelType w:val="multilevel"/>
    <w:tmpl w:val="CA1410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F4A5FA2"/>
    <w:multiLevelType w:val="multilevel"/>
    <w:tmpl w:val="18002B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1FF0B0D"/>
    <w:multiLevelType w:val="multilevel"/>
    <w:tmpl w:val="31A049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87A637F"/>
    <w:multiLevelType w:val="multilevel"/>
    <w:tmpl w:val="7CBE1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FC65123"/>
    <w:multiLevelType w:val="multilevel"/>
    <w:tmpl w:val="E16A42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15280714">
    <w:abstractNumId w:val="4"/>
  </w:num>
  <w:num w:numId="2" w16cid:durableId="1639384212">
    <w:abstractNumId w:val="0"/>
  </w:num>
  <w:num w:numId="3" w16cid:durableId="1899511472">
    <w:abstractNumId w:val="5"/>
  </w:num>
  <w:num w:numId="4" w16cid:durableId="1171457403">
    <w:abstractNumId w:val="2"/>
  </w:num>
  <w:num w:numId="5" w16cid:durableId="678048526">
    <w:abstractNumId w:val="3"/>
  </w:num>
  <w:num w:numId="6" w16cid:durableId="19103411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1F97"/>
    <w:rsid w:val="0021554A"/>
    <w:rsid w:val="00724C37"/>
    <w:rsid w:val="007C59D3"/>
    <w:rsid w:val="00FF1F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538F52D"/>
  <w15:docId w15:val="{0E7FBA07-F7BB-2340-8299-4112CA0370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691</Words>
  <Characters>3945</Characters>
  <Application>Microsoft Office Word</Application>
  <DocSecurity>0</DocSecurity>
  <Lines>32</Lines>
  <Paragraphs>9</Paragraphs>
  <ScaleCrop>false</ScaleCrop>
  <Company/>
  <LinksUpToDate>false</LinksUpToDate>
  <CharactersWithSpaces>4627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Gaurav</cp:lastModifiedBy>
  <cp:revision>2</cp:revision>
  <dcterms:created xsi:type="dcterms:W3CDTF">2026-02-03T18:29:00Z</dcterms:created>
  <dcterms:modified xsi:type="dcterms:W3CDTF">2026-02-03T18:29:00Z</dcterms:modified>
</cp:coreProperties>
</file>