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70D49" w:rsidRDefault="00000000">
      <w:pPr>
        <w:pStyle w:val="Heading2"/>
        <w:keepNext w:val="0"/>
        <w:spacing w:after="80"/>
        <w:jc w:val="both"/>
        <w:rPr>
          <w:rFonts w:ascii="Times New Roman" w:eastAsia="Times New Roman" w:hAnsi="Times New Roman" w:cs="Times New Roman"/>
          <w:b/>
          <w:bCs/>
          <w:sz w:val="28"/>
          <w:szCs w:val="28"/>
        </w:rPr>
      </w:pPr>
      <w:bookmarkStart w:id="0" w:name="_q0fzk9n4jd0" w:colFirst="0" w:colLast="0"/>
      <w:bookmarkEnd w:id="0"/>
      <w:r>
        <w:rPr>
          <w:rFonts w:ascii="Times New Roman" w:eastAsia="Times New Roman" w:hAnsi="Times New Roman" w:cs="Times New Roman"/>
          <w:b/>
          <w:bCs/>
          <w:sz w:val="28"/>
          <w:szCs w:val="28"/>
        </w:rPr>
        <w:t>Private Equity Investment Memo</w:t>
      </w:r>
    </w:p>
    <w:p w14:paraId="00000002" w14:textId="77777777" w:rsidR="00B70D49" w:rsidRDefault="00000000" w:rsidP="00BF22AC">
      <w:pPr>
        <w:keepLines/>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HD Supply Holdings, Inc.</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Proposed Acquisition by KKR</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Date: October 2025</w:t>
      </w:r>
    </w:p>
    <w:p w14:paraId="00000003" w14:textId="77777777" w:rsidR="00B70D49" w:rsidRDefault="00B70D49">
      <w:pPr>
        <w:keepLines/>
        <w:spacing w:before="240" w:after="240"/>
        <w:jc w:val="both"/>
        <w:rPr>
          <w:rFonts w:ascii="Times New Roman" w:eastAsia="Times New Roman" w:hAnsi="Times New Roman" w:cs="Times New Roman"/>
          <w:sz w:val="26"/>
          <w:szCs w:val="26"/>
        </w:rPr>
      </w:pPr>
    </w:p>
    <w:p w14:paraId="00000004"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1" w:name="_13x5ydtse7ux" w:colFirst="0" w:colLast="0"/>
      <w:bookmarkEnd w:id="1"/>
      <w:r>
        <w:rPr>
          <w:rFonts w:ascii="Times New Roman" w:eastAsia="Times New Roman" w:hAnsi="Times New Roman" w:cs="Times New Roman"/>
          <w:b/>
          <w:bCs/>
          <w:sz w:val="26"/>
          <w:szCs w:val="26"/>
        </w:rPr>
        <w:t>1. Executive Summary</w:t>
      </w:r>
    </w:p>
    <w:p w14:paraId="00000005"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HD Supply (“HDS”) is a leading North American distributor of maintenance, repair, and operations (“MRO”) products serving the multifamily, hospitality, healthcare, and institutional end markets. The company benefits from a highly diversified customer base, recurring non-discretionary demand, and a scaled distribution network that generates stable and predictable cash flows.</w:t>
      </w:r>
    </w:p>
    <w:p w14:paraId="00000006"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KKR proposes to acquire HD Supply in a leveraged buyout for an enterprise value of </w:t>
      </w:r>
      <w:r>
        <w:rPr>
          <w:rFonts w:ascii="Times New Roman" w:eastAsia="Times New Roman" w:hAnsi="Times New Roman" w:cs="Times New Roman"/>
          <w:b/>
          <w:bCs/>
          <w:sz w:val="24"/>
          <w:szCs w:val="24"/>
        </w:rPr>
        <w:t>$8.2 billion</w:t>
      </w:r>
      <w:r>
        <w:rPr>
          <w:rFonts w:ascii="Times New Roman" w:eastAsia="Times New Roman" w:hAnsi="Times New Roman" w:cs="Times New Roman"/>
          <w:sz w:val="24"/>
          <w:szCs w:val="24"/>
        </w:rPr>
        <w:t xml:space="preserve">, representing a </w:t>
      </w:r>
      <w:r>
        <w:rPr>
          <w:rFonts w:ascii="Times New Roman" w:eastAsia="Times New Roman" w:hAnsi="Times New Roman" w:cs="Times New Roman"/>
          <w:b/>
          <w:bCs/>
          <w:sz w:val="24"/>
          <w:szCs w:val="24"/>
        </w:rPr>
        <w:t>7.8x LTM EBITDA</w:t>
      </w:r>
      <w:r>
        <w:rPr>
          <w:rFonts w:ascii="Times New Roman" w:eastAsia="Times New Roman" w:hAnsi="Times New Roman" w:cs="Times New Roman"/>
          <w:sz w:val="24"/>
          <w:szCs w:val="24"/>
        </w:rPr>
        <w:t xml:space="preserve"> multiple. The transaction will be financed with approximately </w:t>
      </w:r>
      <w:r>
        <w:rPr>
          <w:rFonts w:ascii="Times New Roman" w:eastAsia="Times New Roman" w:hAnsi="Times New Roman" w:cs="Times New Roman"/>
          <w:b/>
          <w:bCs/>
          <w:sz w:val="24"/>
          <w:szCs w:val="24"/>
        </w:rPr>
        <w:t>72% debt and 28% equity</w:t>
      </w:r>
      <w:r>
        <w:rPr>
          <w:rFonts w:ascii="Times New Roman" w:eastAsia="Times New Roman" w:hAnsi="Times New Roman" w:cs="Times New Roman"/>
          <w:sz w:val="24"/>
          <w:szCs w:val="24"/>
        </w:rPr>
        <w:t xml:space="preserve">, implying an equity investment of </w:t>
      </w:r>
      <w:r>
        <w:rPr>
          <w:rFonts w:ascii="Times New Roman" w:eastAsia="Times New Roman" w:hAnsi="Times New Roman" w:cs="Times New Roman"/>
          <w:b/>
          <w:bCs/>
          <w:sz w:val="24"/>
          <w:szCs w:val="24"/>
        </w:rPr>
        <w:t>$2.3 billion</w:t>
      </w:r>
      <w:r>
        <w:rPr>
          <w:rFonts w:ascii="Times New Roman" w:eastAsia="Times New Roman" w:hAnsi="Times New Roman" w:cs="Times New Roman"/>
          <w:sz w:val="24"/>
          <w:szCs w:val="24"/>
        </w:rPr>
        <w:t>. The capital structure is designed to maximize equity returns while maintaining adequate downside protection through strong free cash flow coverage.</w:t>
      </w:r>
    </w:p>
    <w:p w14:paraId="00000007"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base case, HD Supply is projected to grow EBITDA from </w:t>
      </w:r>
      <w:r>
        <w:rPr>
          <w:rFonts w:ascii="Times New Roman" w:eastAsia="Times New Roman" w:hAnsi="Times New Roman" w:cs="Times New Roman"/>
          <w:b/>
          <w:bCs/>
          <w:sz w:val="24"/>
          <w:szCs w:val="24"/>
        </w:rPr>
        <w:t>$835 million LTM</w:t>
      </w:r>
      <w:r>
        <w:rPr>
          <w:rFonts w:ascii="Times New Roman" w:eastAsia="Times New Roman" w:hAnsi="Times New Roman" w:cs="Times New Roman"/>
          <w:sz w:val="24"/>
          <w:szCs w:val="24"/>
        </w:rPr>
        <w:t xml:space="preserve"> to approximately </w:t>
      </w:r>
      <w:r>
        <w:rPr>
          <w:rFonts w:ascii="Times New Roman" w:eastAsia="Times New Roman" w:hAnsi="Times New Roman" w:cs="Times New Roman"/>
          <w:b/>
          <w:bCs/>
          <w:sz w:val="24"/>
          <w:szCs w:val="24"/>
        </w:rPr>
        <w:t>$1.1 billion by Year 5</w:t>
      </w:r>
      <w:r>
        <w:rPr>
          <w:rFonts w:ascii="Times New Roman" w:eastAsia="Times New Roman" w:hAnsi="Times New Roman" w:cs="Times New Roman"/>
          <w:sz w:val="24"/>
          <w:szCs w:val="24"/>
        </w:rPr>
        <w:t xml:space="preserve">, driven by modest organic growth and incremental margin expansion. Assuming a conservative </w:t>
      </w:r>
      <w:r>
        <w:rPr>
          <w:rFonts w:ascii="Times New Roman" w:eastAsia="Times New Roman" w:hAnsi="Times New Roman" w:cs="Times New Roman"/>
          <w:b/>
          <w:bCs/>
          <w:sz w:val="24"/>
          <w:szCs w:val="24"/>
        </w:rPr>
        <w:t>7.5x exit multiple</w:t>
      </w:r>
      <w:r>
        <w:rPr>
          <w:rFonts w:ascii="Times New Roman" w:eastAsia="Times New Roman" w:hAnsi="Times New Roman" w:cs="Times New Roman"/>
          <w:sz w:val="24"/>
          <w:szCs w:val="24"/>
        </w:rPr>
        <w:t xml:space="preserve"> (below entry), the investment is expected to generate a </w:t>
      </w:r>
      <w:r>
        <w:rPr>
          <w:rFonts w:ascii="Times New Roman" w:eastAsia="Times New Roman" w:hAnsi="Times New Roman" w:cs="Times New Roman"/>
          <w:b/>
          <w:bCs/>
          <w:sz w:val="24"/>
          <w:szCs w:val="24"/>
        </w:rPr>
        <w:t>19–20% IRR</w:t>
      </w:r>
      <w:r>
        <w:rPr>
          <w:rFonts w:ascii="Times New Roman" w:eastAsia="Times New Roman" w:hAnsi="Times New Roman" w:cs="Times New Roman"/>
          <w:sz w:val="24"/>
          <w:szCs w:val="24"/>
        </w:rPr>
        <w:t xml:space="preserve"> and a </w:t>
      </w:r>
      <w:r>
        <w:rPr>
          <w:rFonts w:ascii="Times New Roman" w:eastAsia="Times New Roman" w:hAnsi="Times New Roman" w:cs="Times New Roman"/>
          <w:b/>
          <w:bCs/>
          <w:sz w:val="24"/>
          <w:szCs w:val="24"/>
        </w:rPr>
        <w:t>2.4x MOIC</w:t>
      </w:r>
      <w:r>
        <w:rPr>
          <w:rFonts w:ascii="Times New Roman" w:eastAsia="Times New Roman" w:hAnsi="Times New Roman" w:cs="Times New Roman"/>
          <w:sz w:val="24"/>
          <w:szCs w:val="24"/>
        </w:rPr>
        <w:t xml:space="preserve"> over a </w:t>
      </w:r>
      <w:r>
        <w:rPr>
          <w:rFonts w:ascii="Times New Roman" w:eastAsia="Times New Roman" w:hAnsi="Times New Roman" w:cs="Times New Roman"/>
          <w:b/>
          <w:bCs/>
          <w:sz w:val="24"/>
          <w:szCs w:val="24"/>
        </w:rPr>
        <w:t>5-year holding period</w:t>
      </w:r>
      <w:r>
        <w:rPr>
          <w:rFonts w:ascii="Times New Roman" w:eastAsia="Times New Roman" w:hAnsi="Times New Roman" w:cs="Times New Roman"/>
          <w:sz w:val="24"/>
          <w:szCs w:val="24"/>
        </w:rPr>
        <w:t>, driven primarily by free-cash-flow-based deleveraging with no reliance on multiple expansion.</w:t>
      </w:r>
    </w:p>
    <w:p w14:paraId="00000008" w14:textId="77777777" w:rsidR="00B70D49" w:rsidRDefault="00B70D49">
      <w:pPr>
        <w:keepLines/>
        <w:spacing w:before="240" w:after="240"/>
        <w:jc w:val="both"/>
        <w:rPr>
          <w:rFonts w:ascii="Times New Roman" w:eastAsia="Times New Roman" w:hAnsi="Times New Roman" w:cs="Times New Roman"/>
          <w:sz w:val="24"/>
          <w:szCs w:val="24"/>
        </w:rPr>
      </w:pPr>
    </w:p>
    <w:p w14:paraId="00000009"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2" w:name="_br8b60soewin" w:colFirst="0" w:colLast="0"/>
      <w:bookmarkEnd w:id="2"/>
      <w:r>
        <w:rPr>
          <w:rFonts w:ascii="Times New Roman" w:eastAsia="Times New Roman" w:hAnsi="Times New Roman" w:cs="Times New Roman"/>
          <w:b/>
          <w:bCs/>
          <w:sz w:val="26"/>
          <w:szCs w:val="26"/>
        </w:rPr>
        <w:t>2. Company Overview</w:t>
      </w:r>
    </w:p>
    <w:p w14:paraId="0000000A"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HD Supply is a leading distributor of MRO products with a nationwide footprint of distribution centers, branch locations, and e-commerce capabilities. The company serves a diversified customer base across multifamily housing, hospitality, healthcare, education, and other institutional end markets, with no single customer representing a material portion of revenue.</w:t>
      </w:r>
    </w:p>
    <w:p w14:paraId="0000000B"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strengths include a high proportion of recurring, non-discretionary maintenance spend, strong customer retention supported by service quality and embedded relationships, and a scalable logistics and fulfillment platform. HD Supply’s asset-light distribution model enables high free cash flow conversion and limited ongoing capital requirements.</w:t>
      </w:r>
    </w:p>
    <w:p w14:paraId="0000000C"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company’s operating profile characterized by stable revenue, resilient margins, and strong working capital efficiency makes HD Supply well suited for leveraged ownership and value creation through disciplined operational execution and balance sheet optimization.</w:t>
      </w:r>
    </w:p>
    <w:p w14:paraId="0000000D" w14:textId="77777777" w:rsidR="00B70D49" w:rsidRDefault="00B70D49">
      <w:pPr>
        <w:keepLines/>
        <w:spacing w:before="240" w:after="240"/>
        <w:jc w:val="both"/>
        <w:rPr>
          <w:rFonts w:ascii="Times New Roman" w:eastAsia="Times New Roman" w:hAnsi="Times New Roman" w:cs="Times New Roman"/>
          <w:sz w:val="24"/>
          <w:szCs w:val="24"/>
        </w:rPr>
      </w:pPr>
    </w:p>
    <w:p w14:paraId="0000000E"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3" w:name="_2feyel789700" w:colFirst="0" w:colLast="0"/>
      <w:bookmarkEnd w:id="3"/>
      <w:r>
        <w:rPr>
          <w:rFonts w:ascii="Times New Roman" w:eastAsia="Times New Roman" w:hAnsi="Times New Roman" w:cs="Times New Roman"/>
          <w:b/>
          <w:bCs/>
          <w:sz w:val="26"/>
          <w:szCs w:val="26"/>
        </w:rPr>
        <w:t xml:space="preserve">3. Investment Thesis </w:t>
      </w:r>
    </w:p>
    <w:p w14:paraId="0000000F"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KKR’s investment in HD Supply is supported by four primary value creation levers:</w:t>
      </w:r>
    </w:p>
    <w:p w14:paraId="00000010"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Defensive, Cash-Generating Business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MRO spending is largely non-discretionary and tied to ongoing property maintenance rather than new construction, providing resilience through economic cycles and downside protection in weaker demand environments.</w:t>
      </w:r>
    </w:p>
    <w:p w14:paraId="00000011"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EBITDA Growth Through Operational Initiatives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Incremental growth opportunities include SKU expansion, increased private-label penetration, pricing optimization, and enhanced cross-selling across HD Supply’s customer base. These initiatives support steady EBITDA growth without reliance on aggressive top-line assumptions.</w:t>
      </w:r>
    </w:p>
    <w:p w14:paraId="00000012"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Margin Expansion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Operational initiatives focused on procurement scale, supply chain optimization, logistics efficiency, and automation are expected to drive gradual EBITDA margin expansion from approximately </w:t>
      </w:r>
      <w:r>
        <w:rPr>
          <w:rFonts w:ascii="Times New Roman" w:eastAsia="Times New Roman" w:hAnsi="Times New Roman" w:cs="Times New Roman"/>
          <w:b/>
          <w:bCs/>
          <w:sz w:val="24"/>
          <w:szCs w:val="24"/>
        </w:rPr>
        <w:t>10.8% LTM to 12.5% by Year 5</w:t>
      </w:r>
      <w:r>
        <w:rPr>
          <w:rFonts w:ascii="Times New Roman" w:eastAsia="Times New Roman" w:hAnsi="Times New Roman" w:cs="Times New Roman"/>
          <w:sz w:val="24"/>
          <w:szCs w:val="24"/>
        </w:rPr>
        <w:t>.</w:t>
      </w:r>
    </w:p>
    <w:p w14:paraId="00000013"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Deleveraging Through Strong Free Cash Flow</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High free cash flow generation enables rapid debt paydown, with net leverage declining from approximately </w:t>
      </w:r>
      <w:r>
        <w:rPr>
          <w:rFonts w:ascii="Times New Roman" w:eastAsia="Times New Roman" w:hAnsi="Times New Roman" w:cs="Times New Roman"/>
          <w:b/>
          <w:bCs/>
          <w:sz w:val="24"/>
          <w:szCs w:val="24"/>
        </w:rPr>
        <w:t>7.1x at entry to 2.6x by exit</w:t>
      </w:r>
      <w:r>
        <w:rPr>
          <w:rFonts w:ascii="Times New Roman" w:eastAsia="Times New Roman" w:hAnsi="Times New Roman" w:cs="Times New Roman"/>
          <w:sz w:val="24"/>
          <w:szCs w:val="24"/>
        </w:rPr>
        <w:t>, driving equity value creation independent of multiple expansion.</w:t>
      </w:r>
    </w:p>
    <w:p w14:paraId="00000014" w14:textId="77777777" w:rsidR="00B70D49" w:rsidRDefault="00B70D49">
      <w:pPr>
        <w:keepLines/>
        <w:spacing w:before="240" w:after="240"/>
        <w:jc w:val="both"/>
        <w:rPr>
          <w:rFonts w:ascii="Times New Roman" w:eastAsia="Times New Roman" w:hAnsi="Times New Roman" w:cs="Times New Roman"/>
          <w:sz w:val="24"/>
          <w:szCs w:val="24"/>
        </w:rPr>
      </w:pPr>
    </w:p>
    <w:p w14:paraId="00000015"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4" w:name="_u5dst7tfplo8" w:colFirst="0" w:colLast="0"/>
      <w:bookmarkEnd w:id="4"/>
      <w:r>
        <w:rPr>
          <w:rFonts w:ascii="Times New Roman" w:eastAsia="Times New Roman" w:hAnsi="Times New Roman" w:cs="Times New Roman"/>
          <w:b/>
          <w:bCs/>
          <w:sz w:val="26"/>
          <w:szCs w:val="26"/>
        </w:rPr>
        <w:t>4. Transaction Structure</w:t>
      </w:r>
    </w:p>
    <w:p w14:paraId="00000016"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acquisition will be funded through a combination of senior secured term loans, asset-backed financing, and sponsor equity from KKR. Total debt at close is expected to be approximately </w:t>
      </w:r>
      <w:r>
        <w:rPr>
          <w:rFonts w:ascii="Times New Roman" w:eastAsia="Times New Roman" w:hAnsi="Times New Roman" w:cs="Times New Roman"/>
          <w:b/>
          <w:bCs/>
          <w:sz w:val="24"/>
          <w:szCs w:val="24"/>
        </w:rPr>
        <w:t>$5.9 billion</w:t>
      </w:r>
      <w:r>
        <w:rPr>
          <w:rFonts w:ascii="Times New Roman" w:eastAsia="Times New Roman" w:hAnsi="Times New Roman" w:cs="Times New Roman"/>
          <w:sz w:val="24"/>
          <w:szCs w:val="24"/>
        </w:rPr>
        <w:t>, with excess cash flow fully swept to senior debt repayment following mandatory amortization.</w:t>
      </w:r>
    </w:p>
    <w:p w14:paraId="00000017"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capital structure balances attractive leverage with conservative coverage metrics, allowing the business to withstand operating volatility while supporting accelerated deleveraging over the holding period.</w:t>
      </w:r>
    </w:p>
    <w:p w14:paraId="00000018" w14:textId="77777777" w:rsidR="00B70D49" w:rsidRDefault="00B70D49">
      <w:pPr>
        <w:keepLines/>
        <w:spacing w:before="240" w:after="240"/>
        <w:jc w:val="both"/>
        <w:rPr>
          <w:rFonts w:ascii="Times New Roman" w:eastAsia="Times New Roman" w:hAnsi="Times New Roman" w:cs="Times New Roman"/>
          <w:sz w:val="24"/>
          <w:szCs w:val="24"/>
        </w:rPr>
      </w:pPr>
    </w:p>
    <w:p w14:paraId="00000019"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5" w:name="_nso1wdf86hez" w:colFirst="0" w:colLast="0"/>
      <w:bookmarkEnd w:id="5"/>
      <w:r>
        <w:rPr>
          <w:rFonts w:ascii="Times New Roman" w:eastAsia="Times New Roman" w:hAnsi="Times New Roman" w:cs="Times New Roman"/>
          <w:b/>
          <w:bCs/>
          <w:sz w:val="26"/>
          <w:szCs w:val="26"/>
        </w:rPr>
        <w:t>5. Financial Performance &amp; Projections</w:t>
      </w:r>
    </w:p>
    <w:p w14:paraId="0000001A"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base case, HD Supply is projected to deliver revenue growth of approximately </w:t>
      </w:r>
      <w:r>
        <w:rPr>
          <w:rFonts w:ascii="Times New Roman" w:eastAsia="Times New Roman" w:hAnsi="Times New Roman" w:cs="Times New Roman"/>
          <w:b/>
          <w:bCs/>
          <w:sz w:val="24"/>
          <w:szCs w:val="24"/>
        </w:rPr>
        <w:t>~3% annually</w:t>
      </w:r>
      <w:r>
        <w:rPr>
          <w:rFonts w:ascii="Times New Roman" w:eastAsia="Times New Roman" w:hAnsi="Times New Roman" w:cs="Times New Roman"/>
          <w:sz w:val="24"/>
          <w:szCs w:val="24"/>
        </w:rPr>
        <w:t xml:space="preserve">, consistent with long-term end-market demand and pricing dynamics. EBITDA is expected to grow from </w:t>
      </w:r>
      <w:r>
        <w:rPr>
          <w:rFonts w:ascii="Times New Roman" w:eastAsia="Times New Roman" w:hAnsi="Times New Roman" w:cs="Times New Roman"/>
          <w:b/>
          <w:bCs/>
          <w:sz w:val="24"/>
          <w:szCs w:val="24"/>
        </w:rPr>
        <w:t>$835 million LTM</w:t>
      </w:r>
      <w:r>
        <w:rPr>
          <w:rFonts w:ascii="Times New Roman" w:eastAsia="Times New Roman" w:hAnsi="Times New Roman" w:cs="Times New Roman"/>
          <w:sz w:val="24"/>
          <w:szCs w:val="24"/>
        </w:rPr>
        <w:t xml:space="preserve"> to approximately </w:t>
      </w:r>
      <w:r>
        <w:rPr>
          <w:rFonts w:ascii="Times New Roman" w:eastAsia="Times New Roman" w:hAnsi="Times New Roman" w:cs="Times New Roman"/>
          <w:b/>
          <w:bCs/>
          <w:sz w:val="24"/>
          <w:szCs w:val="24"/>
        </w:rPr>
        <w:t>$1.1 billion by Year 5</w:t>
      </w:r>
      <w:r>
        <w:rPr>
          <w:rFonts w:ascii="Times New Roman" w:eastAsia="Times New Roman" w:hAnsi="Times New Roman" w:cs="Times New Roman"/>
          <w:sz w:val="24"/>
          <w:szCs w:val="24"/>
        </w:rPr>
        <w:t>, driven by modest margin expansion and operating leverage.</w:t>
      </w:r>
    </w:p>
    <w:p w14:paraId="0000001B"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Capital expenditures are projected at approximately </w:t>
      </w:r>
      <w:r>
        <w:rPr>
          <w:rFonts w:ascii="Times New Roman" w:eastAsia="Times New Roman" w:hAnsi="Times New Roman" w:cs="Times New Roman"/>
          <w:b/>
          <w:bCs/>
          <w:sz w:val="24"/>
          <w:szCs w:val="24"/>
        </w:rPr>
        <w:t>2.3% of revenue</w:t>
      </w:r>
      <w:r>
        <w:rPr>
          <w:rFonts w:ascii="Times New Roman" w:eastAsia="Times New Roman" w:hAnsi="Times New Roman" w:cs="Times New Roman"/>
          <w:sz w:val="24"/>
          <w:szCs w:val="24"/>
        </w:rPr>
        <w:t>, reflecting the asset-light nature of the distribution model. Improvements in working capital efficiency further enhance free cash flow generation.</w:t>
      </w:r>
    </w:p>
    <w:p w14:paraId="0000001C"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dynamics support strong unlevered free cash flow of </w:t>
      </w:r>
      <w:r>
        <w:rPr>
          <w:rFonts w:ascii="Times New Roman" w:eastAsia="Times New Roman" w:hAnsi="Times New Roman" w:cs="Times New Roman"/>
          <w:b/>
          <w:bCs/>
          <w:sz w:val="24"/>
          <w:szCs w:val="24"/>
        </w:rPr>
        <w:t>$550–670 million annually</w:t>
      </w:r>
      <w:r>
        <w:rPr>
          <w:rFonts w:ascii="Times New Roman" w:eastAsia="Times New Roman" w:hAnsi="Times New Roman" w:cs="Times New Roman"/>
          <w:sz w:val="24"/>
          <w:szCs w:val="24"/>
        </w:rPr>
        <w:t>, enabling significant debt amortization and a rapid reduction in leverage over the investment horizon.</w:t>
      </w:r>
    </w:p>
    <w:p w14:paraId="0000001D" w14:textId="77777777" w:rsidR="00B70D49" w:rsidRDefault="00B70D49">
      <w:pPr>
        <w:keepLines/>
        <w:spacing w:before="240" w:after="240"/>
        <w:jc w:val="both"/>
        <w:rPr>
          <w:rFonts w:ascii="Times New Roman" w:eastAsia="Times New Roman" w:hAnsi="Times New Roman" w:cs="Times New Roman"/>
          <w:sz w:val="24"/>
          <w:szCs w:val="24"/>
        </w:rPr>
      </w:pPr>
    </w:p>
    <w:p w14:paraId="0000001E"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6" w:name="_ha1it3cgmrh0" w:colFirst="0" w:colLast="0"/>
      <w:bookmarkEnd w:id="6"/>
      <w:r>
        <w:rPr>
          <w:rFonts w:ascii="Times New Roman" w:eastAsia="Times New Roman" w:hAnsi="Times New Roman" w:cs="Times New Roman"/>
          <w:b/>
          <w:bCs/>
          <w:sz w:val="26"/>
          <w:szCs w:val="26"/>
        </w:rPr>
        <w:t>6. Returns Analysis</w:t>
      </w:r>
    </w:p>
    <w:p w14:paraId="0000001F"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base case assumptions:</w:t>
      </w:r>
    </w:p>
    <w:p w14:paraId="00000020" w14:textId="77777777" w:rsidR="00B70D49" w:rsidRDefault="00000000">
      <w:pPr>
        <w:keepLines/>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 multiple:</w:t>
      </w:r>
      <w:r>
        <w:rPr>
          <w:rFonts w:ascii="Times New Roman" w:eastAsia="Times New Roman" w:hAnsi="Times New Roman" w:cs="Times New Roman"/>
          <w:sz w:val="24"/>
          <w:szCs w:val="24"/>
        </w:rPr>
        <w:t xml:space="preserve"> 7.8x EBITDA</w:t>
      </w:r>
      <w:r>
        <w:rPr>
          <w:rFonts w:ascii="Times New Roman" w:eastAsia="Times New Roman" w:hAnsi="Times New Roman" w:cs="Times New Roman"/>
          <w:sz w:val="24"/>
          <w:szCs w:val="24"/>
        </w:rPr>
        <w:br/>
      </w:r>
    </w:p>
    <w:p w14:paraId="00000021" w14:textId="77777777" w:rsidR="00B70D49" w:rsidRDefault="00000000">
      <w:pPr>
        <w:keepLines/>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 multiple:</w:t>
      </w:r>
      <w:r>
        <w:rPr>
          <w:rFonts w:ascii="Times New Roman" w:eastAsia="Times New Roman" w:hAnsi="Times New Roman" w:cs="Times New Roman"/>
          <w:sz w:val="24"/>
          <w:szCs w:val="24"/>
        </w:rPr>
        <w:t xml:space="preserve"> 7.5x EBITDA</w:t>
      </w:r>
      <w:r>
        <w:rPr>
          <w:rFonts w:ascii="Times New Roman" w:eastAsia="Times New Roman" w:hAnsi="Times New Roman" w:cs="Times New Roman"/>
          <w:sz w:val="24"/>
          <w:szCs w:val="24"/>
        </w:rPr>
        <w:br/>
      </w:r>
    </w:p>
    <w:p w14:paraId="00000022" w14:textId="77777777" w:rsidR="00B70D49" w:rsidRDefault="00000000">
      <w:pPr>
        <w:keepLines/>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Holding period:</w:t>
      </w:r>
      <w:r>
        <w:rPr>
          <w:rFonts w:ascii="Times New Roman" w:eastAsia="Times New Roman" w:hAnsi="Times New Roman" w:cs="Times New Roman"/>
          <w:sz w:val="24"/>
          <w:szCs w:val="24"/>
        </w:rPr>
        <w:t xml:space="preserve"> 5 years</w:t>
      </w:r>
      <w:r>
        <w:rPr>
          <w:rFonts w:ascii="Times New Roman" w:eastAsia="Times New Roman" w:hAnsi="Times New Roman" w:cs="Times New Roman"/>
          <w:sz w:val="24"/>
          <w:szCs w:val="24"/>
        </w:rPr>
        <w:br/>
      </w:r>
    </w:p>
    <w:p w14:paraId="00000023"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KKR is expected to achieve a </w:t>
      </w:r>
      <w:r>
        <w:rPr>
          <w:rFonts w:ascii="Times New Roman" w:eastAsia="Times New Roman" w:hAnsi="Times New Roman" w:cs="Times New Roman"/>
          <w:b/>
          <w:bCs/>
          <w:sz w:val="24"/>
          <w:szCs w:val="24"/>
        </w:rPr>
        <w:t>19–20% IRR</w:t>
      </w:r>
      <w:r>
        <w:rPr>
          <w:rFonts w:ascii="Times New Roman" w:eastAsia="Times New Roman" w:hAnsi="Times New Roman" w:cs="Times New Roman"/>
          <w:sz w:val="24"/>
          <w:szCs w:val="24"/>
        </w:rPr>
        <w:t xml:space="preserve"> and a </w:t>
      </w:r>
      <w:r>
        <w:rPr>
          <w:rFonts w:ascii="Times New Roman" w:eastAsia="Times New Roman" w:hAnsi="Times New Roman" w:cs="Times New Roman"/>
          <w:b/>
          <w:bCs/>
          <w:sz w:val="24"/>
          <w:szCs w:val="24"/>
        </w:rPr>
        <w:t>2.4x MOIC</w:t>
      </w:r>
      <w:r>
        <w:rPr>
          <w:rFonts w:ascii="Times New Roman" w:eastAsia="Times New Roman" w:hAnsi="Times New Roman" w:cs="Times New Roman"/>
          <w:sz w:val="24"/>
          <w:szCs w:val="24"/>
        </w:rPr>
        <w:t>. Returns are driven primarily by EBITDA growth and substantial debt paydown, with no reliance on multiple expansion and limited sensitivity to exit valuation.</w:t>
      </w:r>
    </w:p>
    <w:p w14:paraId="74E74CBF" w14:textId="12F0F24F" w:rsidR="00B30E23" w:rsidRDefault="00B30E23">
      <w:pPr>
        <w:keepLines/>
        <w:spacing w:before="240" w:after="240"/>
        <w:jc w:val="both"/>
        <w:rPr>
          <w:rFonts w:ascii="Times New Roman" w:eastAsia="Times New Roman" w:hAnsi="Times New Roman" w:cs="Times New Roman"/>
          <w:sz w:val="24"/>
          <w:szCs w:val="24"/>
        </w:rPr>
      </w:pPr>
      <w:r w:rsidRPr="00B30E23">
        <w:rPr>
          <w:rFonts w:ascii="Times New Roman" w:eastAsia="Times New Roman" w:hAnsi="Times New Roman" w:cs="Times New Roman"/>
          <w:sz w:val="24"/>
          <w:szCs w:val="24"/>
        </w:rPr>
        <w:lastRenderedPageBreak/>
        <w:t>Equity returns are driven primarily by EBITDA growth and substantial free-cash-flow-based deleveraging rather than multiple expansion. Entry at a 7.8x EBITDA multiple combined with cumulative debt paydown over the holding period materially increases equity value by exit, despite an assumed exit multiple of 7.5x.</w:t>
      </w:r>
    </w:p>
    <w:p w14:paraId="00000024" w14:textId="77777777" w:rsidR="00B70D49" w:rsidRDefault="00B70D49">
      <w:pPr>
        <w:keepLines/>
        <w:spacing w:before="240" w:after="240"/>
        <w:jc w:val="both"/>
        <w:rPr>
          <w:rFonts w:ascii="Times New Roman" w:eastAsia="Times New Roman" w:hAnsi="Times New Roman" w:cs="Times New Roman"/>
          <w:sz w:val="24"/>
          <w:szCs w:val="24"/>
        </w:rPr>
      </w:pPr>
    </w:p>
    <w:p w14:paraId="00000025"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7" w:name="_s8khoeenk35i" w:colFirst="0" w:colLast="0"/>
      <w:bookmarkEnd w:id="7"/>
      <w:r>
        <w:rPr>
          <w:rFonts w:ascii="Times New Roman" w:eastAsia="Times New Roman" w:hAnsi="Times New Roman" w:cs="Times New Roman"/>
          <w:b/>
          <w:bCs/>
          <w:sz w:val="26"/>
          <w:szCs w:val="26"/>
        </w:rPr>
        <w:t xml:space="preserve">7. Sensitivity Analysis </w:t>
      </w:r>
    </w:p>
    <w:p w14:paraId="00000026"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are most sensitive to exit multiple and EBITDA performance. In downside scenarios assuming reduced EBITDA growth and exit multiple compression, equity value is preserved, though returns fall below KKR’s target threshold. Upside cases reflect stronger operating performance and modest valuation expansion, resulting in IRRs exceeding the base case.</w:t>
      </w:r>
    </w:p>
    <w:p w14:paraId="00000027" w14:textId="77777777" w:rsidR="00B70D49" w:rsidRDefault="00B70D49">
      <w:pPr>
        <w:keepLines/>
        <w:spacing w:before="240" w:after="240"/>
        <w:jc w:val="both"/>
        <w:rPr>
          <w:rFonts w:ascii="Times New Roman" w:eastAsia="Times New Roman" w:hAnsi="Times New Roman" w:cs="Times New Roman"/>
          <w:sz w:val="26"/>
          <w:szCs w:val="26"/>
        </w:rPr>
      </w:pPr>
    </w:p>
    <w:p w14:paraId="00000028" w14:textId="77777777" w:rsidR="00B70D49" w:rsidRDefault="00000000">
      <w:pPr>
        <w:keepLines/>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 Key Risks </w:t>
      </w:r>
    </w:p>
    <w:p w14:paraId="00000029"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risks include exposure to construction and housing activity, competitive pricing pressure, customer concentration within certain end markets, and execution risk associated with operational initiatives. These risks are mitigated by HD Supply’s diversified customer base, recurring demand profile, strong market position, and conservative capital structure that prioritizes liquidity and debt service capacity.</w:t>
      </w:r>
    </w:p>
    <w:p w14:paraId="0000002A" w14:textId="77777777" w:rsidR="00B70D49" w:rsidRDefault="00B70D49">
      <w:pPr>
        <w:keepLines/>
        <w:spacing w:before="240" w:after="240"/>
        <w:jc w:val="both"/>
        <w:rPr>
          <w:rFonts w:ascii="Times New Roman" w:eastAsia="Times New Roman" w:hAnsi="Times New Roman" w:cs="Times New Roman"/>
          <w:sz w:val="24"/>
          <w:szCs w:val="24"/>
        </w:rPr>
      </w:pPr>
    </w:p>
    <w:p w14:paraId="0000002B" w14:textId="77777777" w:rsidR="00B70D49" w:rsidRDefault="00000000">
      <w:pPr>
        <w:pStyle w:val="Heading2"/>
        <w:keepNext w:val="0"/>
        <w:spacing w:after="80"/>
        <w:jc w:val="both"/>
        <w:rPr>
          <w:rFonts w:ascii="Times New Roman" w:eastAsia="Times New Roman" w:hAnsi="Times New Roman" w:cs="Times New Roman"/>
          <w:b/>
          <w:bCs/>
          <w:sz w:val="26"/>
          <w:szCs w:val="26"/>
        </w:rPr>
      </w:pPr>
      <w:bookmarkStart w:id="8" w:name="_lldf909xfbxl" w:colFirst="0" w:colLast="0"/>
      <w:bookmarkEnd w:id="8"/>
      <w:r>
        <w:rPr>
          <w:rFonts w:ascii="Times New Roman" w:eastAsia="Times New Roman" w:hAnsi="Times New Roman" w:cs="Times New Roman"/>
          <w:b/>
          <w:bCs/>
          <w:sz w:val="26"/>
          <w:szCs w:val="26"/>
        </w:rPr>
        <w:t xml:space="preserve">9. Exit Strategy </w:t>
      </w:r>
    </w:p>
    <w:p w14:paraId="0000002C" w14:textId="77777777" w:rsidR="00B70D49" w:rsidRDefault="00000000">
      <w:pPr>
        <w:keepLine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Potential exit paths include a sale to a strategic buyer, a secondary sale to another financial sponsor, or an initial public offering. KKR expects to exit the investment within </w:t>
      </w:r>
      <w:r>
        <w:rPr>
          <w:rFonts w:ascii="Times New Roman" w:eastAsia="Times New Roman" w:hAnsi="Times New Roman" w:cs="Times New Roman"/>
          <w:b/>
          <w:bCs/>
          <w:sz w:val="24"/>
          <w:szCs w:val="24"/>
        </w:rPr>
        <w:t>5 years</w:t>
      </w:r>
      <w:r>
        <w:rPr>
          <w:rFonts w:ascii="Times New Roman" w:eastAsia="Times New Roman" w:hAnsi="Times New Roman" w:cs="Times New Roman"/>
          <w:sz w:val="24"/>
          <w:szCs w:val="24"/>
        </w:rPr>
        <w:t>, following significant deleveraging and EBITDA growth that enhances equity value and exit optionality.</w:t>
      </w:r>
    </w:p>
    <w:p w14:paraId="0000002D" w14:textId="77777777" w:rsidR="00B70D49" w:rsidRDefault="00B70D49">
      <w:pPr>
        <w:keepLines/>
        <w:spacing w:before="240" w:after="240"/>
        <w:jc w:val="both"/>
        <w:rPr>
          <w:rFonts w:ascii="Times New Roman" w:eastAsia="Times New Roman" w:hAnsi="Times New Roman" w:cs="Times New Roman"/>
          <w:sz w:val="24"/>
          <w:szCs w:val="24"/>
        </w:rPr>
      </w:pPr>
    </w:p>
    <w:p w14:paraId="0000002E" w14:textId="77777777" w:rsidR="00B70D49" w:rsidRDefault="00B70D49">
      <w:pPr>
        <w:keepLines/>
        <w:rPr>
          <w:rFonts w:ascii="Times New Roman" w:eastAsia="Times New Roman" w:hAnsi="Times New Roman" w:cs="Times New Roman"/>
          <w:sz w:val="24"/>
          <w:szCs w:val="24"/>
        </w:rPr>
      </w:pPr>
    </w:p>
    <w:sectPr w:rsidR="00B70D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755CA62-64CC-1242-8E8F-5A3E829CA36C}"/>
    <w:embedBold r:id="rId2" w:fontKey="{67AFD46C-E001-8F41-BBAF-7E65FB5ED508}"/>
  </w:font>
  <w:font w:name="Arial">
    <w:panose1 w:val="020B0604020202020204"/>
    <w:charset w:val="00"/>
    <w:family w:val="swiss"/>
    <w:pitch w:val="variable"/>
    <w:sig w:usb0="E0002AFF" w:usb1="C0007843" w:usb2="00000009" w:usb3="00000000" w:csb0="000001FF" w:csb1="00000000"/>
    <w:embedRegular r:id="rId3" w:fontKey="{5FFCF400-452F-2F45-84C0-6C03A0A06004}"/>
    <w:embedItalic r:id="rId4" w:fontKey="{ACAFE5C5-62A7-954E-A542-F519B43EE243}"/>
  </w:font>
  <w:font w:name="Calibri">
    <w:panose1 w:val="020F0502020204030204"/>
    <w:charset w:val="00"/>
    <w:family w:val="swiss"/>
    <w:pitch w:val="variable"/>
    <w:sig w:usb0="E0002AFF" w:usb1="C000247B" w:usb2="00000009" w:usb3="00000000" w:csb0="000001FF" w:csb1="00000000"/>
    <w:embedRegular r:id="rId5" w:fontKey="{F0C99952-A6B0-1444-B0AE-58F338E4C6E1}"/>
  </w:font>
  <w:font w:name="Cambria">
    <w:panose1 w:val="02040503050406030204"/>
    <w:charset w:val="00"/>
    <w:family w:val="roman"/>
    <w:pitch w:val="variable"/>
    <w:sig w:usb0="E00002FF" w:usb1="400004FF" w:usb2="00000000" w:usb3="00000000" w:csb0="0000019F" w:csb1="00000000"/>
    <w:embedRegular r:id="rId6" w:fontKey="{D8D2355B-4A64-6D4C-BC8A-140A035307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95831"/>
    <w:multiLevelType w:val="multilevel"/>
    <w:tmpl w:val="131EB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783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D49"/>
    <w:rsid w:val="007C59D3"/>
    <w:rsid w:val="00B30E23"/>
    <w:rsid w:val="00B70D49"/>
    <w:rsid w:val="00BF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44B4C"/>
  <w15:docId w15:val="{0E7FBA07-F7BB-2340-8299-4112CA03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987</Words>
  <Characters>5627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Gaurav</cp:lastModifiedBy>
  <cp:revision>2</cp:revision>
  <dcterms:created xsi:type="dcterms:W3CDTF">2026-02-03T18:31:00Z</dcterms:created>
  <dcterms:modified xsi:type="dcterms:W3CDTF">2026-02-03T18:31:00Z</dcterms:modified>
</cp:coreProperties>
</file>