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USD/INR Carry Trade Analysis</w:t>
      </w:r>
    </w:p>
    <w:p>
      <w:pPr>
        <w:jc w:val="center"/>
      </w:pPr>
      <w:r>
        <w:rPr>
          <w:color w:val="4A4A4A"/>
          <w:sz w:val="32"/>
        </w:rPr>
        <w:t>US Investor's Perspective | 2016 - 2026</w:t>
      </w:r>
    </w:p>
    <w:p/>
    <w:p>
      <w:pPr>
        <w:jc w:val="center"/>
      </w:pPr>
      <w:r>
        <w:rPr>
          <w:color w:val="808080"/>
          <w:sz w:val="28"/>
        </w:rPr>
        <w:t>April 2026</w:t>
      </w:r>
    </w:p>
    <w:p>
      <w:r>
        <w:br w:type="page"/>
      </w:r>
    </w:p>
    <w:p>
      <w:pPr>
        <w:pStyle w:val="Heading1"/>
      </w:pPr>
      <w:r>
        <w:t>Table of Contents</w:t>
      </w:r>
    </w:p>
    <w:p>
      <w:pPr>
        <w:pStyle w:val="ListNumber"/>
      </w:pPr>
      <w:r>
        <w:t>1. Executive Summary</w:t>
      </w:r>
    </w:p>
    <w:p>
      <w:pPr>
        <w:pStyle w:val="ListNumber"/>
      </w:pPr>
      <w:r>
        <w:t>2. Methodology — How a Carry Trade Works</w:t>
      </w:r>
    </w:p>
    <w:p>
      <w:pPr>
        <w:pStyle w:val="ListNumber"/>
      </w:pPr>
      <w:r>
        <w:t>3. Market Data Overview</w:t>
      </w:r>
    </w:p>
    <w:p>
      <w:pPr>
        <w:pStyle w:val="ListNumber"/>
      </w:pPr>
      <w:r>
        <w:t>4. Investor P&amp;L Analysis</w:t>
      </w:r>
    </w:p>
    <w:p>
      <w:pPr>
        <w:pStyle w:val="ListNumber"/>
      </w:pPr>
      <w:r>
        <w:t>5. P&amp;L Decomposition</w:t>
      </w:r>
    </w:p>
    <w:p>
      <w:pPr>
        <w:pStyle w:val="ListNumber"/>
      </w:pPr>
      <w:r>
        <w:t>6. Cumulative Return Analysis</w:t>
      </w:r>
    </w:p>
    <w:p>
      <w:pPr>
        <w:pStyle w:val="ListNumber"/>
      </w:pPr>
      <w:r>
        <w:t>7. Interest Rate Environment</w:t>
      </w:r>
    </w:p>
    <w:p>
      <w:pPr>
        <w:pStyle w:val="ListNumber"/>
      </w:pPr>
      <w:r>
        <w:t>8. Currency Trend Analysis</w:t>
      </w:r>
    </w:p>
    <w:p>
      <w:pPr>
        <w:pStyle w:val="ListNumber"/>
      </w:pPr>
      <w:r>
        <w:t>9. Inflation &amp; PPP Analysis</w:t>
      </w:r>
    </w:p>
    <w:p>
      <w:pPr>
        <w:pStyle w:val="ListNumber"/>
      </w:pPr>
      <w:r>
        <w:t>10. Carry Attractiveness Over Time</w:t>
      </w:r>
    </w:p>
    <w:p>
      <w:pPr>
        <w:pStyle w:val="ListNumber"/>
      </w:pPr>
      <w:r>
        <w:t>11. Risk Metrics</w:t>
      </w:r>
    </w:p>
    <w:p>
      <w:pPr>
        <w:pStyle w:val="ListNumber"/>
      </w:pPr>
      <w:r>
        <w:t>12. Key Observations &amp; Phase Analysis</w:t>
      </w:r>
    </w:p>
    <w:p>
      <w:pPr>
        <w:pStyle w:val="ListNumber"/>
      </w:pPr>
      <w:r>
        <w:t>13. Current Environment Assessment</w:t>
      </w:r>
    </w:p>
    <w:p>
      <w:pPr>
        <w:pStyle w:val="ListNumber"/>
      </w:pPr>
      <w:r>
        <w:t>14. Conclusions</w:t>
      </w:r>
    </w:p>
    <w:p>
      <w:pPr>
        <w:pStyle w:val="ListNumber"/>
      </w:pPr>
      <w:r>
        <w:t>15. Data Sources</w:t>
      </w:r>
    </w:p>
    <w:p>
      <w:r>
        <w:br w:type="page"/>
      </w:r>
    </w:p>
    <w:p>
      <w:pPr>
        <w:pStyle w:val="Heading1"/>
      </w:pPr>
      <w:r>
        <w:t>1. Executive Summary</w:t>
      </w:r>
    </w:p>
    <w:p>
      <w:r>
        <w:t>This report analyses the USD/INR carry trade from the perspective of a US-based investor over the past decade (2016-2026). The carry trade involves borrowing in US dollars at the Fed Funds rate, converting to Indian rupees, investing at the RBI Repo rate, and converting back to USD at year-end.</w:t>
      </w:r>
    </w:p>
    <w:p>
      <w:r>
        <w:t>The analysis focuses exclusively on the investor's actual P&amp;L in USD terms — the only metric that matters. Indian inflation is relevant only indirectly, as a predictor of future INR depreciation, not as a direct cost to the US investor.</w:t>
      </w:r>
    </w:p>
    <w:p>
      <w:pPr>
        <w:pStyle w:val="Heading3"/>
      </w:pPr>
      <w:r>
        <w:t>Key Findings:</w:t>
      </w:r>
    </w:p>
    <w:p>
      <w:pPr>
        <w:pStyle w:val="ListBullet"/>
      </w:pPr>
      <w:r>
        <w:t>The carry trade delivered a net NEGATIVE cumulative return over 10 years.</w:t>
      </w:r>
    </w:p>
    <w:p>
      <w:pPr>
        <w:pStyle w:val="ListBullet"/>
      </w:pPr>
      <w:r>
        <w:t>Only 2 out of 10 years (2017, 2021) were clearly profitable.</w:t>
      </w:r>
    </w:p>
    <w:p>
      <w:pPr>
        <w:pStyle w:val="ListBullet"/>
      </w:pPr>
      <w:r>
        <w:t>Average carry earned: ~3.2% p.a. vs Average INR depreciation: ~3.4% p.a.</w:t>
      </w:r>
    </w:p>
    <w:p>
      <w:pPr>
        <w:pStyle w:val="ListBullet"/>
      </w:pPr>
      <w:r>
        <w:t>The interest rate differential compressed from 5.75% (2016) to just 1.50% (2026).</w:t>
      </w:r>
    </w:p>
    <w:p>
      <w:pPr>
        <w:pStyle w:val="ListBullet"/>
      </w:pPr>
      <w:r>
        <w:t>The INR depreciated ~39% cumulatively (67.18 to 93.09), hitting an all-time low of 99.82 in March 2026.</w:t>
      </w:r>
    </w:p>
    <w:p>
      <w:pPr>
        <w:pStyle w:val="ListBullet"/>
      </w:pPr>
      <w:r>
        <w:t>The trade exhibits classic 'peso problem' characteristics — steady small gains wiped out by sudden large losses.</w:t>
      </w:r>
    </w:p>
    <w:p>
      <w:r>
        <w:br w:type="page"/>
      </w:r>
    </w:p>
    <w:p>
      <w:pPr>
        <w:pStyle w:val="Heading1"/>
      </w:pPr>
      <w:r>
        <w:t>2. Methodology — How a Carry Trade Works</w:t>
      </w:r>
    </w:p>
    <w:p>
      <w:r>
        <w:t>A carry trade exploits interest rate differentials between two currencies. The US investor executes the following steps:</w:t>
      </w:r>
    </w:p>
    <w:p>
      <w:pPr>
        <w:pStyle w:val="ListBullet"/>
      </w:pPr>
      <w:r>
        <w:t>Step 1: Borrow $1 in the US at the Fed Funds rate (cost of funding).</w:t>
      </w:r>
    </w:p>
    <w:p>
      <w:pPr>
        <w:pStyle w:val="ListBullet"/>
      </w:pPr>
      <w:r>
        <w:t>Step 2: Convert $1 to INR at the prevailing spot rate (e.g., $1 = INR 67.18 in 2016).</w:t>
      </w:r>
    </w:p>
    <w:p>
      <w:pPr>
        <w:pStyle w:val="ListBullet"/>
      </w:pPr>
      <w:r>
        <w:t>Step 3: Invest the INR at the Indian policy rate (RBI Repo rate) for one year.</w:t>
      </w:r>
    </w:p>
    <w:p>
      <w:pPr>
        <w:pStyle w:val="ListBullet"/>
      </w:pPr>
      <w:r>
        <w:t>Step 4: At year-end, convert INR (principal + interest) back to USD at the new spot rate.</w:t>
      </w:r>
    </w:p>
    <w:p>
      <w:pPr>
        <w:pStyle w:val="ListBullet"/>
      </w:pPr>
      <w:r>
        <w:t>Step 5: Repay the USD loan with interest. The remainder is profit (or loss).</w:t>
      </w:r>
    </w:p>
    <w:p>
      <w:pPr>
        <w:pStyle w:val="Heading3"/>
      </w:pPr>
      <w:r>
        <w:t>P&amp;L Formula:</w:t>
      </w:r>
    </w:p>
    <w:p>
      <w:r>
        <w:t>Exact P&amp;L (per $1 invested):</w:t>
      </w:r>
    </w:p>
    <w:p>
      <w:r>
        <w:rPr>
          <w:rFonts w:ascii="Consolas" w:hAnsi="Consolas"/>
          <w:sz w:val="20"/>
        </w:rPr>
        <w:t xml:space="preserve">   USD_received = (USDINR_start × (1 + INR_rate)) / USDINR_end</w:t>
        <w:br/>
        <w:t xml:space="preserve">   Net P&amp;L = USD_received - 1 - USD_borrowing_cost</w:t>
      </w:r>
    </w:p>
    <w:p>
      <w:r>
        <w:t>If the INR depreciates more than the interest rate differential, the investor loses money. This is the central risk of the carry trade.</w:t>
      </w:r>
    </w:p>
    <w:p>
      <w:pPr>
        <w:pStyle w:val="Heading3"/>
      </w:pPr>
      <w:r>
        <w:t>What Indian Inflation Means to the US Investor:</w:t>
      </w:r>
    </w:p>
    <w:p>
      <w:r>
        <w:t>A US investor does NOT directly bear Indian inflation — they convert back to USD and spend in the US. However, India's inflation is the primary structural driver of INR depreciation over time. Higher Indian inflation relative to the US erodes INR purchasing power, leading to depreciation. So the investor monitors it as a leading indicator of currency risk, not as a direct cost.</w:t>
      </w:r>
    </w:p>
    <w:p>
      <w:r>
        <w:br w:type="page"/>
      </w:r>
    </w:p>
    <w:p>
      <w:pPr>
        <w:pStyle w:val="Heading1"/>
      </w:pPr>
      <w:r>
        <w:t>3. Market Data Overview</w:t>
      </w:r>
    </w:p>
    <w:p>
      <w:pPr>
        <w:pStyle w:val="Heading2"/>
      </w:pPr>
      <w:r>
        <w:t>3.1 Raw Data Table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F4E79"/>
          </w:tcPr>
          <w:p>
            <w:pPr>
              <w:jc w:val="center"/>
            </w:pPr>
            <w:r>
              <w:rPr>
                <w:b/>
                <w:color w:val="FFFFFF"/>
                <w:sz w:val="18"/>
              </w:rPr>
              <w:t>Year</w:t>
            </w:r>
          </w:p>
        </w:tc>
        <w:tc>
          <w:tcPr>
            <w:tcW w:type="dxa" w:w="1512"/>
            <w:shd w:val="clear" w:color="auto" w:fill="1F4E79"/>
          </w:tcPr>
          <w:p>
            <w:pPr>
              <w:jc w:val="center"/>
            </w:pPr>
            <w:r>
              <w:rPr>
                <w:b/>
                <w:color w:val="FFFFFF"/>
                <w:sz w:val="18"/>
              </w:rPr>
              <w:t>USD/INR (Avg)</w:t>
            </w:r>
          </w:p>
        </w:tc>
        <w:tc>
          <w:tcPr>
            <w:tcW w:type="dxa" w:w="1512"/>
            <w:shd w:val="clear" w:color="auto" w:fill="1F4E79"/>
          </w:tcPr>
          <w:p>
            <w:pPr>
              <w:jc w:val="center"/>
            </w:pPr>
            <w:r>
              <w:rPr>
                <w:b/>
                <w:color w:val="FFFFFF"/>
                <w:sz w:val="18"/>
              </w:rPr>
              <w:t>RBI Repo (%)</w:t>
            </w:r>
          </w:p>
        </w:tc>
        <w:tc>
          <w:tcPr>
            <w:tcW w:type="dxa" w:w="1512"/>
            <w:shd w:val="clear" w:color="auto" w:fill="1F4E79"/>
          </w:tcPr>
          <w:p>
            <w:pPr>
              <w:jc w:val="center"/>
            </w:pPr>
            <w:r>
              <w:rPr>
                <w:b/>
                <w:color w:val="FFFFFF"/>
                <w:sz w:val="18"/>
              </w:rPr>
              <w:t>US Fed (%)</w:t>
            </w:r>
          </w:p>
        </w:tc>
        <w:tc>
          <w:tcPr>
            <w:tcW w:type="dxa" w:w="1512"/>
            <w:shd w:val="clear" w:color="auto" w:fill="1F4E79"/>
          </w:tcPr>
          <w:p>
            <w:pPr>
              <w:jc w:val="center"/>
            </w:pPr>
            <w:r>
              <w:rPr>
                <w:b/>
                <w:color w:val="FFFFFF"/>
                <w:sz w:val="18"/>
              </w:rPr>
              <w:t>India CPI (%)</w:t>
            </w:r>
          </w:p>
        </w:tc>
        <w:tc>
          <w:tcPr>
            <w:tcW w:type="dxa" w:w="1512"/>
            <w:shd w:val="clear" w:color="auto" w:fill="1F4E79"/>
          </w:tcPr>
          <w:p>
            <w:pPr>
              <w:jc w:val="center"/>
            </w:pPr>
            <w:r>
              <w:rPr>
                <w:b/>
                <w:color w:val="FFFFFF"/>
                <w:sz w:val="18"/>
              </w:rPr>
              <w:t>US CPI (%)</w:t>
            </w:r>
          </w:p>
        </w:tc>
      </w:tr>
      <w:tr>
        <w:tc>
          <w:tcPr>
            <w:tcW w:type="dxa" w:w="1512"/>
            <w:shd w:val="clear" w:color="auto" w:fill="D6E4F0"/>
          </w:tcPr>
          <w:p>
            <w:pPr>
              <w:jc w:val="center"/>
            </w:pPr>
            <w:r>
              <w:rPr>
                <w:sz w:val="18"/>
              </w:rPr>
              <w:t>2016.0</w:t>
            </w:r>
          </w:p>
        </w:tc>
        <w:tc>
          <w:tcPr>
            <w:tcW w:type="dxa" w:w="1512"/>
            <w:shd w:val="clear" w:color="auto" w:fill="D6E4F0"/>
          </w:tcPr>
          <w:p>
            <w:pPr>
              <w:jc w:val="center"/>
            </w:pPr>
            <w:r>
              <w:rPr>
                <w:sz w:val="18"/>
              </w:rPr>
              <w:t>67.18</w:t>
            </w:r>
          </w:p>
        </w:tc>
        <w:tc>
          <w:tcPr>
            <w:tcW w:type="dxa" w:w="1512"/>
            <w:shd w:val="clear" w:color="auto" w:fill="D6E4F0"/>
          </w:tcPr>
          <w:p>
            <w:pPr>
              <w:jc w:val="center"/>
            </w:pPr>
            <w:r>
              <w:rPr>
                <w:sz w:val="18"/>
              </w:rPr>
              <w:t>6.25</w:t>
            </w:r>
          </w:p>
        </w:tc>
        <w:tc>
          <w:tcPr>
            <w:tcW w:type="dxa" w:w="1512"/>
            <w:shd w:val="clear" w:color="auto" w:fill="D6E4F0"/>
          </w:tcPr>
          <w:p>
            <w:pPr>
              <w:jc w:val="center"/>
            </w:pPr>
            <w:r>
              <w:rPr>
                <w:sz w:val="18"/>
              </w:rPr>
              <w:t>0.5</w:t>
            </w:r>
          </w:p>
        </w:tc>
        <w:tc>
          <w:tcPr>
            <w:tcW w:type="dxa" w:w="1512"/>
            <w:shd w:val="clear" w:color="auto" w:fill="D6E4F0"/>
          </w:tcPr>
          <w:p>
            <w:pPr>
              <w:jc w:val="center"/>
            </w:pPr>
            <w:r>
              <w:rPr>
                <w:sz w:val="18"/>
              </w:rPr>
              <w:t>4.5</w:t>
            </w:r>
          </w:p>
        </w:tc>
        <w:tc>
          <w:tcPr>
            <w:tcW w:type="dxa" w:w="1512"/>
            <w:shd w:val="clear" w:color="auto" w:fill="D6E4F0"/>
          </w:tcPr>
          <w:p>
            <w:pPr>
              <w:jc w:val="center"/>
            </w:pPr>
            <w:r>
              <w:rPr>
                <w:sz w:val="18"/>
              </w:rPr>
              <w:t>1.3</w:t>
            </w:r>
          </w:p>
        </w:tc>
      </w:tr>
      <w:tr>
        <w:tc>
          <w:tcPr>
            <w:tcW w:type="dxa" w:w="1512"/>
          </w:tcPr>
          <w:p>
            <w:pPr>
              <w:jc w:val="center"/>
            </w:pPr>
            <w:r>
              <w:rPr>
                <w:sz w:val="18"/>
              </w:rPr>
              <w:t>2017.0</w:t>
            </w:r>
          </w:p>
        </w:tc>
        <w:tc>
          <w:tcPr>
            <w:tcW w:type="dxa" w:w="1512"/>
          </w:tcPr>
          <w:p>
            <w:pPr>
              <w:jc w:val="center"/>
            </w:pPr>
            <w:r>
              <w:rPr>
                <w:sz w:val="18"/>
              </w:rPr>
              <w:t>65.12</w:t>
            </w:r>
          </w:p>
        </w:tc>
        <w:tc>
          <w:tcPr>
            <w:tcW w:type="dxa" w:w="1512"/>
          </w:tcPr>
          <w:p>
            <w:pPr>
              <w:jc w:val="center"/>
            </w:pPr>
            <w:r>
              <w:rPr>
                <w:sz w:val="18"/>
              </w:rPr>
              <w:t>6.0</w:t>
            </w:r>
          </w:p>
        </w:tc>
        <w:tc>
          <w:tcPr>
            <w:tcW w:type="dxa" w:w="1512"/>
          </w:tcPr>
          <w:p>
            <w:pPr>
              <w:jc w:val="center"/>
            </w:pPr>
            <w:r>
              <w:rPr>
                <w:sz w:val="18"/>
              </w:rPr>
              <w:t>1.25</w:t>
            </w:r>
          </w:p>
        </w:tc>
        <w:tc>
          <w:tcPr>
            <w:tcW w:type="dxa" w:w="1512"/>
          </w:tcPr>
          <w:p>
            <w:pPr>
              <w:jc w:val="center"/>
            </w:pPr>
            <w:r>
              <w:rPr>
                <w:sz w:val="18"/>
              </w:rPr>
              <w:t>3.6</w:t>
            </w:r>
          </w:p>
        </w:tc>
        <w:tc>
          <w:tcPr>
            <w:tcW w:type="dxa" w:w="1512"/>
          </w:tcPr>
          <w:p>
            <w:pPr>
              <w:jc w:val="center"/>
            </w:pPr>
            <w:r>
              <w:rPr>
                <w:sz w:val="18"/>
              </w:rPr>
              <w:t>2.1</w:t>
            </w:r>
          </w:p>
        </w:tc>
      </w:tr>
      <w:tr>
        <w:tc>
          <w:tcPr>
            <w:tcW w:type="dxa" w:w="1512"/>
            <w:shd w:val="clear" w:color="auto" w:fill="D6E4F0"/>
          </w:tcPr>
          <w:p>
            <w:pPr>
              <w:jc w:val="center"/>
            </w:pPr>
            <w:r>
              <w:rPr>
                <w:sz w:val="18"/>
              </w:rPr>
              <w:t>2018.0</w:t>
            </w:r>
          </w:p>
        </w:tc>
        <w:tc>
          <w:tcPr>
            <w:tcW w:type="dxa" w:w="1512"/>
            <w:shd w:val="clear" w:color="auto" w:fill="D6E4F0"/>
          </w:tcPr>
          <w:p>
            <w:pPr>
              <w:jc w:val="center"/>
            </w:pPr>
            <w:r>
              <w:rPr>
                <w:sz w:val="18"/>
              </w:rPr>
              <w:t>68.39</w:t>
            </w:r>
          </w:p>
        </w:tc>
        <w:tc>
          <w:tcPr>
            <w:tcW w:type="dxa" w:w="1512"/>
            <w:shd w:val="clear" w:color="auto" w:fill="D6E4F0"/>
          </w:tcPr>
          <w:p>
            <w:pPr>
              <w:jc w:val="center"/>
            </w:pPr>
            <w:r>
              <w:rPr>
                <w:sz w:val="18"/>
              </w:rPr>
              <w:t>6.5</w:t>
            </w:r>
          </w:p>
        </w:tc>
        <w:tc>
          <w:tcPr>
            <w:tcW w:type="dxa" w:w="1512"/>
            <w:shd w:val="clear" w:color="auto" w:fill="D6E4F0"/>
          </w:tcPr>
          <w:p>
            <w:pPr>
              <w:jc w:val="center"/>
            </w:pPr>
            <w:r>
              <w:rPr>
                <w:sz w:val="18"/>
              </w:rPr>
              <w:t>2.4</w:t>
            </w:r>
          </w:p>
        </w:tc>
        <w:tc>
          <w:tcPr>
            <w:tcW w:type="dxa" w:w="1512"/>
            <w:shd w:val="clear" w:color="auto" w:fill="D6E4F0"/>
          </w:tcPr>
          <w:p>
            <w:pPr>
              <w:jc w:val="center"/>
            </w:pPr>
            <w:r>
              <w:rPr>
                <w:sz w:val="18"/>
              </w:rPr>
              <w:t>3.4</w:t>
            </w:r>
          </w:p>
        </w:tc>
        <w:tc>
          <w:tcPr>
            <w:tcW w:type="dxa" w:w="1512"/>
            <w:shd w:val="clear" w:color="auto" w:fill="D6E4F0"/>
          </w:tcPr>
          <w:p>
            <w:pPr>
              <w:jc w:val="center"/>
            </w:pPr>
            <w:r>
              <w:rPr>
                <w:sz w:val="18"/>
              </w:rPr>
              <w:t>2.4</w:t>
            </w:r>
          </w:p>
        </w:tc>
      </w:tr>
      <w:tr>
        <w:tc>
          <w:tcPr>
            <w:tcW w:type="dxa" w:w="1512"/>
          </w:tcPr>
          <w:p>
            <w:pPr>
              <w:jc w:val="center"/>
            </w:pPr>
            <w:r>
              <w:rPr>
                <w:sz w:val="18"/>
              </w:rPr>
              <w:t>2019.0</w:t>
            </w:r>
          </w:p>
        </w:tc>
        <w:tc>
          <w:tcPr>
            <w:tcW w:type="dxa" w:w="1512"/>
          </w:tcPr>
          <w:p>
            <w:pPr>
              <w:jc w:val="center"/>
            </w:pPr>
            <w:r>
              <w:rPr>
                <w:sz w:val="18"/>
              </w:rPr>
              <w:t>70.39</w:t>
            </w:r>
          </w:p>
        </w:tc>
        <w:tc>
          <w:tcPr>
            <w:tcW w:type="dxa" w:w="1512"/>
          </w:tcPr>
          <w:p>
            <w:pPr>
              <w:jc w:val="center"/>
            </w:pPr>
            <w:r>
              <w:rPr>
                <w:sz w:val="18"/>
              </w:rPr>
              <w:t>5.15</w:t>
            </w:r>
          </w:p>
        </w:tc>
        <w:tc>
          <w:tcPr>
            <w:tcW w:type="dxa" w:w="1512"/>
          </w:tcPr>
          <w:p>
            <w:pPr>
              <w:jc w:val="center"/>
            </w:pPr>
            <w:r>
              <w:rPr>
                <w:sz w:val="18"/>
              </w:rPr>
              <w:t>1.55</w:t>
            </w:r>
          </w:p>
        </w:tc>
        <w:tc>
          <w:tcPr>
            <w:tcW w:type="dxa" w:w="1512"/>
          </w:tcPr>
          <w:p>
            <w:pPr>
              <w:jc w:val="center"/>
            </w:pPr>
            <w:r>
              <w:rPr>
                <w:sz w:val="18"/>
              </w:rPr>
              <w:t>4.8</w:t>
            </w:r>
          </w:p>
        </w:tc>
        <w:tc>
          <w:tcPr>
            <w:tcW w:type="dxa" w:w="1512"/>
          </w:tcPr>
          <w:p>
            <w:pPr>
              <w:jc w:val="center"/>
            </w:pPr>
            <w:r>
              <w:rPr>
                <w:sz w:val="18"/>
              </w:rPr>
              <w:t>1.8</w:t>
            </w:r>
          </w:p>
        </w:tc>
      </w:tr>
      <w:tr>
        <w:tc>
          <w:tcPr>
            <w:tcW w:type="dxa" w:w="1512"/>
            <w:shd w:val="clear" w:color="auto" w:fill="D6E4F0"/>
          </w:tcPr>
          <w:p>
            <w:pPr>
              <w:jc w:val="center"/>
            </w:pPr>
            <w:r>
              <w:rPr>
                <w:sz w:val="18"/>
              </w:rPr>
              <w:t>2020.0</w:t>
            </w:r>
          </w:p>
        </w:tc>
        <w:tc>
          <w:tcPr>
            <w:tcW w:type="dxa" w:w="1512"/>
            <w:shd w:val="clear" w:color="auto" w:fill="D6E4F0"/>
          </w:tcPr>
          <w:p>
            <w:pPr>
              <w:jc w:val="center"/>
            </w:pPr>
            <w:r>
              <w:rPr>
                <w:sz w:val="18"/>
              </w:rPr>
              <w:t>74.13</w:t>
            </w:r>
          </w:p>
        </w:tc>
        <w:tc>
          <w:tcPr>
            <w:tcW w:type="dxa" w:w="1512"/>
            <w:shd w:val="clear" w:color="auto" w:fill="D6E4F0"/>
          </w:tcPr>
          <w:p>
            <w:pPr>
              <w:jc w:val="center"/>
            </w:pPr>
            <w:r>
              <w:rPr>
                <w:sz w:val="18"/>
              </w:rPr>
              <w:t>4.0</w:t>
            </w:r>
          </w:p>
        </w:tc>
        <w:tc>
          <w:tcPr>
            <w:tcW w:type="dxa" w:w="1512"/>
            <w:shd w:val="clear" w:color="auto" w:fill="D6E4F0"/>
          </w:tcPr>
          <w:p>
            <w:pPr>
              <w:jc w:val="center"/>
            </w:pPr>
            <w:r>
              <w:rPr>
                <w:sz w:val="18"/>
              </w:rPr>
              <w:t>0.1</w:t>
            </w:r>
          </w:p>
        </w:tc>
        <w:tc>
          <w:tcPr>
            <w:tcW w:type="dxa" w:w="1512"/>
            <w:shd w:val="clear" w:color="auto" w:fill="D6E4F0"/>
          </w:tcPr>
          <w:p>
            <w:pPr>
              <w:jc w:val="center"/>
            </w:pPr>
            <w:r>
              <w:rPr>
                <w:sz w:val="18"/>
              </w:rPr>
              <w:t>6.2</w:t>
            </w:r>
          </w:p>
        </w:tc>
        <w:tc>
          <w:tcPr>
            <w:tcW w:type="dxa" w:w="1512"/>
            <w:shd w:val="clear" w:color="auto" w:fill="D6E4F0"/>
          </w:tcPr>
          <w:p>
            <w:pPr>
              <w:jc w:val="center"/>
            </w:pPr>
            <w:r>
              <w:rPr>
                <w:sz w:val="18"/>
              </w:rPr>
              <w:t>1.3</w:t>
            </w:r>
          </w:p>
        </w:tc>
      </w:tr>
      <w:tr>
        <w:tc>
          <w:tcPr>
            <w:tcW w:type="dxa" w:w="1512"/>
          </w:tcPr>
          <w:p>
            <w:pPr>
              <w:jc w:val="center"/>
            </w:pPr>
            <w:r>
              <w:rPr>
                <w:sz w:val="18"/>
              </w:rPr>
              <w:t>2021.0</w:t>
            </w:r>
          </w:p>
        </w:tc>
        <w:tc>
          <w:tcPr>
            <w:tcW w:type="dxa" w:w="1512"/>
          </w:tcPr>
          <w:p>
            <w:pPr>
              <w:jc w:val="center"/>
            </w:pPr>
            <w:r>
              <w:rPr>
                <w:sz w:val="18"/>
              </w:rPr>
              <w:t>73.94</w:t>
            </w:r>
          </w:p>
        </w:tc>
        <w:tc>
          <w:tcPr>
            <w:tcW w:type="dxa" w:w="1512"/>
          </w:tcPr>
          <w:p>
            <w:pPr>
              <w:jc w:val="center"/>
            </w:pPr>
            <w:r>
              <w:rPr>
                <w:sz w:val="18"/>
              </w:rPr>
              <w:t>4.0</w:t>
            </w:r>
          </w:p>
        </w:tc>
        <w:tc>
          <w:tcPr>
            <w:tcW w:type="dxa" w:w="1512"/>
          </w:tcPr>
          <w:p>
            <w:pPr>
              <w:jc w:val="center"/>
            </w:pPr>
            <w:r>
              <w:rPr>
                <w:sz w:val="18"/>
              </w:rPr>
              <w:t>0.1</w:t>
            </w:r>
          </w:p>
        </w:tc>
        <w:tc>
          <w:tcPr>
            <w:tcW w:type="dxa" w:w="1512"/>
          </w:tcPr>
          <w:p>
            <w:pPr>
              <w:jc w:val="center"/>
            </w:pPr>
            <w:r>
              <w:rPr>
                <w:sz w:val="18"/>
              </w:rPr>
              <w:t>5.5</w:t>
            </w:r>
          </w:p>
        </w:tc>
        <w:tc>
          <w:tcPr>
            <w:tcW w:type="dxa" w:w="1512"/>
          </w:tcPr>
          <w:p>
            <w:pPr>
              <w:jc w:val="center"/>
            </w:pPr>
            <w:r>
              <w:rPr>
                <w:sz w:val="18"/>
              </w:rPr>
              <w:t>4.7</w:t>
            </w:r>
          </w:p>
        </w:tc>
      </w:tr>
      <w:tr>
        <w:tc>
          <w:tcPr>
            <w:tcW w:type="dxa" w:w="1512"/>
            <w:shd w:val="clear" w:color="auto" w:fill="D6E4F0"/>
          </w:tcPr>
          <w:p>
            <w:pPr>
              <w:jc w:val="center"/>
            </w:pPr>
            <w:r>
              <w:rPr>
                <w:sz w:val="18"/>
              </w:rPr>
              <w:t>2022.0</w:t>
            </w:r>
          </w:p>
        </w:tc>
        <w:tc>
          <w:tcPr>
            <w:tcW w:type="dxa" w:w="1512"/>
            <w:shd w:val="clear" w:color="auto" w:fill="D6E4F0"/>
          </w:tcPr>
          <w:p>
            <w:pPr>
              <w:jc w:val="center"/>
            </w:pPr>
            <w:r>
              <w:rPr>
                <w:sz w:val="18"/>
              </w:rPr>
              <w:t>78.6</w:t>
            </w:r>
          </w:p>
        </w:tc>
        <w:tc>
          <w:tcPr>
            <w:tcW w:type="dxa" w:w="1512"/>
            <w:shd w:val="clear" w:color="auto" w:fill="D6E4F0"/>
          </w:tcPr>
          <w:p>
            <w:pPr>
              <w:jc w:val="center"/>
            </w:pPr>
            <w:r>
              <w:rPr>
                <w:sz w:val="18"/>
              </w:rPr>
              <w:t>6.25</w:t>
            </w:r>
          </w:p>
        </w:tc>
        <w:tc>
          <w:tcPr>
            <w:tcW w:type="dxa" w:w="1512"/>
            <w:shd w:val="clear" w:color="auto" w:fill="D6E4F0"/>
          </w:tcPr>
          <w:p>
            <w:pPr>
              <w:jc w:val="center"/>
            </w:pPr>
            <w:r>
              <w:rPr>
                <w:sz w:val="18"/>
              </w:rPr>
              <w:t>4.33</w:t>
            </w:r>
          </w:p>
        </w:tc>
        <w:tc>
          <w:tcPr>
            <w:tcW w:type="dxa" w:w="1512"/>
            <w:shd w:val="clear" w:color="auto" w:fill="D6E4F0"/>
          </w:tcPr>
          <w:p>
            <w:pPr>
              <w:jc w:val="center"/>
            </w:pPr>
            <w:r>
              <w:rPr>
                <w:sz w:val="18"/>
              </w:rPr>
              <w:t>6.7</w:t>
            </w:r>
          </w:p>
        </w:tc>
        <w:tc>
          <w:tcPr>
            <w:tcW w:type="dxa" w:w="1512"/>
            <w:shd w:val="clear" w:color="auto" w:fill="D6E4F0"/>
          </w:tcPr>
          <w:p>
            <w:pPr>
              <w:jc w:val="center"/>
            </w:pPr>
            <w:r>
              <w:rPr>
                <w:sz w:val="18"/>
              </w:rPr>
              <w:t>8.0</w:t>
            </w:r>
          </w:p>
        </w:tc>
      </w:tr>
      <w:tr>
        <w:tc>
          <w:tcPr>
            <w:tcW w:type="dxa" w:w="1512"/>
          </w:tcPr>
          <w:p>
            <w:pPr>
              <w:jc w:val="center"/>
            </w:pPr>
            <w:r>
              <w:rPr>
                <w:sz w:val="18"/>
              </w:rPr>
              <w:t>2023.0</w:t>
            </w:r>
          </w:p>
        </w:tc>
        <w:tc>
          <w:tcPr>
            <w:tcW w:type="dxa" w:w="1512"/>
          </w:tcPr>
          <w:p>
            <w:pPr>
              <w:jc w:val="center"/>
            </w:pPr>
            <w:r>
              <w:rPr>
                <w:sz w:val="18"/>
              </w:rPr>
              <w:t>82.57</w:t>
            </w:r>
          </w:p>
        </w:tc>
        <w:tc>
          <w:tcPr>
            <w:tcW w:type="dxa" w:w="1512"/>
          </w:tcPr>
          <w:p>
            <w:pPr>
              <w:jc w:val="center"/>
            </w:pPr>
            <w:r>
              <w:rPr>
                <w:sz w:val="18"/>
              </w:rPr>
              <w:t>6.5</w:t>
            </w:r>
          </w:p>
        </w:tc>
        <w:tc>
          <w:tcPr>
            <w:tcW w:type="dxa" w:w="1512"/>
          </w:tcPr>
          <w:p>
            <w:pPr>
              <w:jc w:val="center"/>
            </w:pPr>
            <w:r>
              <w:rPr>
                <w:sz w:val="18"/>
              </w:rPr>
              <w:t>5.33</w:t>
            </w:r>
          </w:p>
        </w:tc>
        <w:tc>
          <w:tcPr>
            <w:tcW w:type="dxa" w:w="1512"/>
          </w:tcPr>
          <w:p>
            <w:pPr>
              <w:jc w:val="center"/>
            </w:pPr>
            <w:r>
              <w:rPr>
                <w:sz w:val="18"/>
              </w:rPr>
              <w:t>5.4</w:t>
            </w:r>
          </w:p>
        </w:tc>
        <w:tc>
          <w:tcPr>
            <w:tcW w:type="dxa" w:w="1512"/>
          </w:tcPr>
          <w:p>
            <w:pPr>
              <w:jc w:val="center"/>
            </w:pPr>
            <w:r>
              <w:rPr>
                <w:sz w:val="18"/>
              </w:rPr>
              <w:t>4.1</w:t>
            </w:r>
          </w:p>
        </w:tc>
      </w:tr>
      <w:tr>
        <w:tc>
          <w:tcPr>
            <w:tcW w:type="dxa" w:w="1512"/>
            <w:shd w:val="clear" w:color="auto" w:fill="D6E4F0"/>
          </w:tcPr>
          <w:p>
            <w:pPr>
              <w:jc w:val="center"/>
            </w:pPr>
            <w:r>
              <w:rPr>
                <w:sz w:val="18"/>
              </w:rPr>
              <w:t>2024.0</w:t>
            </w:r>
          </w:p>
        </w:tc>
        <w:tc>
          <w:tcPr>
            <w:tcW w:type="dxa" w:w="1512"/>
            <w:shd w:val="clear" w:color="auto" w:fill="D6E4F0"/>
          </w:tcPr>
          <w:p>
            <w:pPr>
              <w:jc w:val="center"/>
            </w:pPr>
            <w:r>
              <w:rPr>
                <w:sz w:val="18"/>
              </w:rPr>
              <w:t>83.68</w:t>
            </w:r>
          </w:p>
        </w:tc>
        <w:tc>
          <w:tcPr>
            <w:tcW w:type="dxa" w:w="1512"/>
            <w:shd w:val="clear" w:color="auto" w:fill="D6E4F0"/>
          </w:tcPr>
          <w:p>
            <w:pPr>
              <w:jc w:val="center"/>
            </w:pPr>
            <w:r>
              <w:rPr>
                <w:sz w:val="18"/>
              </w:rPr>
              <w:t>6.5</w:t>
            </w:r>
          </w:p>
        </w:tc>
        <w:tc>
          <w:tcPr>
            <w:tcW w:type="dxa" w:w="1512"/>
            <w:shd w:val="clear" w:color="auto" w:fill="D6E4F0"/>
          </w:tcPr>
          <w:p>
            <w:pPr>
              <w:jc w:val="center"/>
            </w:pPr>
            <w:r>
              <w:rPr>
                <w:sz w:val="18"/>
              </w:rPr>
              <w:t>4.5</w:t>
            </w:r>
          </w:p>
        </w:tc>
        <w:tc>
          <w:tcPr>
            <w:tcW w:type="dxa" w:w="1512"/>
            <w:shd w:val="clear" w:color="auto" w:fill="D6E4F0"/>
          </w:tcPr>
          <w:p>
            <w:pPr>
              <w:jc w:val="center"/>
            </w:pPr>
            <w:r>
              <w:rPr>
                <w:sz w:val="18"/>
              </w:rPr>
              <w:t>4.6</w:t>
            </w:r>
          </w:p>
        </w:tc>
        <w:tc>
          <w:tcPr>
            <w:tcW w:type="dxa" w:w="1512"/>
            <w:shd w:val="clear" w:color="auto" w:fill="D6E4F0"/>
          </w:tcPr>
          <w:p>
            <w:pPr>
              <w:jc w:val="center"/>
            </w:pPr>
            <w:r>
              <w:rPr>
                <w:sz w:val="18"/>
              </w:rPr>
              <w:t>3.0</w:t>
            </w:r>
          </w:p>
        </w:tc>
      </w:tr>
      <w:tr>
        <w:tc>
          <w:tcPr>
            <w:tcW w:type="dxa" w:w="1512"/>
          </w:tcPr>
          <w:p>
            <w:pPr>
              <w:jc w:val="center"/>
            </w:pPr>
            <w:r>
              <w:rPr>
                <w:sz w:val="18"/>
              </w:rPr>
              <w:t>2025.0</w:t>
            </w:r>
          </w:p>
        </w:tc>
        <w:tc>
          <w:tcPr>
            <w:tcW w:type="dxa" w:w="1512"/>
          </w:tcPr>
          <w:p>
            <w:pPr>
              <w:jc w:val="center"/>
            </w:pPr>
            <w:r>
              <w:rPr>
                <w:sz w:val="18"/>
              </w:rPr>
              <w:t>87.13</w:t>
            </w:r>
          </w:p>
        </w:tc>
        <w:tc>
          <w:tcPr>
            <w:tcW w:type="dxa" w:w="1512"/>
          </w:tcPr>
          <w:p>
            <w:pPr>
              <w:jc w:val="center"/>
            </w:pPr>
            <w:r>
              <w:rPr>
                <w:sz w:val="18"/>
              </w:rPr>
              <w:t>5.25</w:t>
            </w:r>
          </w:p>
        </w:tc>
        <w:tc>
          <w:tcPr>
            <w:tcW w:type="dxa" w:w="1512"/>
          </w:tcPr>
          <w:p>
            <w:pPr>
              <w:jc w:val="center"/>
            </w:pPr>
            <w:r>
              <w:rPr>
                <w:sz w:val="18"/>
              </w:rPr>
              <w:t>4.0</w:t>
            </w:r>
          </w:p>
        </w:tc>
        <w:tc>
          <w:tcPr>
            <w:tcW w:type="dxa" w:w="1512"/>
          </w:tcPr>
          <w:p>
            <w:pPr>
              <w:jc w:val="center"/>
            </w:pPr>
            <w:r>
              <w:rPr>
                <w:sz w:val="18"/>
              </w:rPr>
              <w:t>2.8</w:t>
            </w:r>
          </w:p>
        </w:tc>
        <w:tc>
          <w:tcPr>
            <w:tcW w:type="dxa" w:w="1512"/>
          </w:tcPr>
          <w:p>
            <w:pPr>
              <w:jc w:val="center"/>
            </w:pPr>
            <w:r>
              <w:rPr>
                <w:sz w:val="18"/>
              </w:rPr>
              <w:t>2.7</w:t>
            </w:r>
          </w:p>
        </w:tc>
      </w:tr>
      <w:tr>
        <w:tc>
          <w:tcPr>
            <w:tcW w:type="dxa" w:w="1512"/>
            <w:shd w:val="clear" w:color="auto" w:fill="D6E4F0"/>
          </w:tcPr>
          <w:p>
            <w:pPr>
              <w:jc w:val="center"/>
            </w:pPr>
            <w:r>
              <w:rPr>
                <w:sz w:val="18"/>
              </w:rPr>
              <w:t>2026.0</w:t>
            </w:r>
          </w:p>
        </w:tc>
        <w:tc>
          <w:tcPr>
            <w:tcW w:type="dxa" w:w="1512"/>
            <w:shd w:val="clear" w:color="auto" w:fill="D6E4F0"/>
          </w:tcPr>
          <w:p>
            <w:pPr>
              <w:jc w:val="center"/>
            </w:pPr>
            <w:r>
              <w:rPr>
                <w:sz w:val="18"/>
              </w:rPr>
              <w:t>93.09</w:t>
            </w:r>
          </w:p>
        </w:tc>
        <w:tc>
          <w:tcPr>
            <w:tcW w:type="dxa" w:w="1512"/>
            <w:shd w:val="clear" w:color="auto" w:fill="D6E4F0"/>
          </w:tcPr>
          <w:p>
            <w:pPr>
              <w:jc w:val="center"/>
            </w:pPr>
            <w:r>
              <w:rPr>
                <w:sz w:val="18"/>
              </w:rPr>
              <w:t>5.25</w:t>
            </w:r>
          </w:p>
        </w:tc>
        <w:tc>
          <w:tcPr>
            <w:tcW w:type="dxa" w:w="1512"/>
            <w:shd w:val="clear" w:color="auto" w:fill="D6E4F0"/>
          </w:tcPr>
          <w:p>
            <w:pPr>
              <w:jc w:val="center"/>
            </w:pPr>
            <w:r>
              <w:rPr>
                <w:sz w:val="18"/>
              </w:rPr>
              <w:t>3.75</w:t>
            </w:r>
          </w:p>
        </w:tc>
        <w:tc>
          <w:tcPr>
            <w:tcW w:type="dxa" w:w="1512"/>
            <w:shd w:val="clear" w:color="auto" w:fill="D6E4F0"/>
          </w:tcPr>
          <w:p>
            <w:pPr>
              <w:jc w:val="center"/>
            </w:pPr>
            <w:r>
              <w:rPr>
                <w:sz w:val="18"/>
              </w:rPr>
              <w:t>3.2</w:t>
            </w:r>
          </w:p>
        </w:tc>
        <w:tc>
          <w:tcPr>
            <w:tcW w:type="dxa" w:w="1512"/>
            <w:shd w:val="clear" w:color="auto" w:fill="D6E4F0"/>
          </w:tcPr>
          <w:p>
            <w:pPr>
              <w:jc w:val="center"/>
            </w:pPr>
            <w:r>
              <w:rPr>
                <w:sz w:val="18"/>
              </w:rPr>
              <w:t>3.3</w:t>
            </w:r>
          </w:p>
        </w:tc>
      </w:tr>
    </w:tbl>
    <w:p/>
    <w:p>
      <w:r>
        <w:t>Note: Exchange rates are annual averages. Interest rates are year-end policy rates. CPI figures are annual average inflation rates. 2026 data is year-to-date as of April 10, 2026.</w:t>
      </w:r>
    </w:p>
    <w:p>
      <w:r>
        <w:br w:type="page"/>
      </w:r>
    </w:p>
    <w:p>
      <w:pPr>
        <w:pStyle w:val="Heading1"/>
      </w:pPr>
      <w:r>
        <w:t>4. Investor P&amp;L Analysis</w:t>
      </w:r>
    </w:p>
    <w:p>
      <w:r>
        <w:t>The table below shows the year-by-year P&amp;L for a US investor executing the carry trade. All figures are in USD terms.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1F4E79"/>
          </w:tcPr>
          <w:p>
            <w:pPr>
              <w:jc w:val="center"/>
            </w:pPr>
            <w:r>
              <w:rPr>
                <w:b/>
                <w:color w:val="FFFFFF"/>
                <w:sz w:val="18"/>
              </w:rPr>
              <w:t>Year</w:t>
            </w:r>
          </w:p>
        </w:tc>
        <w:tc>
          <w:tcPr>
            <w:tcW w:type="dxa" w:w="1134"/>
            <w:shd w:val="clear" w:color="auto" w:fill="1F4E79"/>
          </w:tcPr>
          <w:p>
            <w:pPr>
              <w:jc w:val="center"/>
            </w:pPr>
            <w:r>
              <w:rPr>
                <w:b/>
                <w:color w:val="FFFFFF"/>
                <w:sz w:val="18"/>
              </w:rPr>
              <w:t>USD/INR Start</w:t>
            </w:r>
          </w:p>
        </w:tc>
        <w:tc>
          <w:tcPr>
            <w:tcW w:type="dxa" w:w="1134"/>
            <w:shd w:val="clear" w:color="auto" w:fill="1F4E79"/>
          </w:tcPr>
          <w:p>
            <w:pPr>
              <w:jc w:val="center"/>
            </w:pPr>
            <w:r>
              <w:rPr>
                <w:b/>
                <w:color w:val="FFFFFF"/>
                <w:sz w:val="18"/>
              </w:rPr>
              <w:t>USD/INR End</w:t>
            </w:r>
          </w:p>
        </w:tc>
        <w:tc>
          <w:tcPr>
            <w:tcW w:type="dxa" w:w="1134"/>
            <w:shd w:val="clear" w:color="auto" w:fill="1F4E79"/>
          </w:tcPr>
          <w:p>
            <w:pPr>
              <w:jc w:val="center"/>
            </w:pPr>
            <w:r>
              <w:rPr>
                <w:b/>
                <w:color w:val="FFFFFF"/>
                <w:sz w:val="18"/>
              </w:rPr>
              <w:t>INR Rate (Earn)%</w:t>
            </w:r>
          </w:p>
        </w:tc>
        <w:tc>
          <w:tcPr>
            <w:tcW w:type="dxa" w:w="1134"/>
            <w:shd w:val="clear" w:color="auto" w:fill="1F4E79"/>
          </w:tcPr>
          <w:p>
            <w:pPr>
              <w:jc w:val="center"/>
            </w:pPr>
            <w:r>
              <w:rPr>
                <w:b/>
                <w:color w:val="FFFFFF"/>
                <w:sz w:val="18"/>
              </w:rPr>
              <w:t>USD Rate (Borrow)%</w:t>
            </w:r>
          </w:p>
        </w:tc>
        <w:tc>
          <w:tcPr>
            <w:tcW w:type="dxa" w:w="1134"/>
            <w:shd w:val="clear" w:color="auto" w:fill="1F4E79"/>
          </w:tcPr>
          <w:p>
            <w:pPr>
              <w:jc w:val="center"/>
            </w:pPr>
            <w:r>
              <w:rPr>
                <w:b/>
                <w:color w:val="FFFFFF"/>
                <w:sz w:val="18"/>
              </w:rPr>
              <w:t>INR Depr%</w:t>
            </w:r>
          </w:p>
        </w:tc>
        <w:tc>
          <w:tcPr>
            <w:tcW w:type="dxa" w:w="1134"/>
            <w:shd w:val="clear" w:color="auto" w:fill="1F4E79"/>
          </w:tcPr>
          <w:p>
            <w:pPr>
              <w:jc w:val="center"/>
            </w:pPr>
            <w:r>
              <w:rPr>
                <w:b/>
                <w:color w:val="FFFFFF"/>
                <w:sz w:val="18"/>
              </w:rPr>
              <w:t>Gross USD Ret%</w:t>
            </w:r>
          </w:p>
        </w:tc>
        <w:tc>
          <w:tcPr>
            <w:tcW w:type="dxa" w:w="1134"/>
            <w:shd w:val="clear" w:color="auto" w:fill="1F4E79"/>
          </w:tcPr>
          <w:p>
            <w:pPr>
              <w:jc w:val="center"/>
            </w:pPr>
            <w:r>
              <w:rPr>
                <w:b/>
                <w:color w:val="FFFFFF"/>
                <w:sz w:val="18"/>
              </w:rPr>
              <w:t>Net P&amp;L%</w:t>
            </w:r>
          </w:p>
        </w:tc>
      </w:tr>
      <w:tr>
        <w:tc>
          <w:tcPr>
            <w:tcW w:type="dxa" w:w="1134"/>
            <w:shd w:val="clear" w:color="auto" w:fill="D6E4F0"/>
          </w:tcPr>
          <w:p>
            <w:pPr>
              <w:jc w:val="center"/>
            </w:pPr>
            <w:r>
              <w:rPr>
                <w:sz w:val="18"/>
              </w:rPr>
              <w:t>2017.0</w:t>
            </w:r>
          </w:p>
        </w:tc>
        <w:tc>
          <w:tcPr>
            <w:tcW w:type="dxa" w:w="1134"/>
            <w:shd w:val="clear" w:color="auto" w:fill="D6E4F0"/>
          </w:tcPr>
          <w:p>
            <w:pPr>
              <w:jc w:val="center"/>
            </w:pPr>
            <w:r>
              <w:rPr>
                <w:sz w:val="18"/>
              </w:rPr>
              <w:t>67.18</w:t>
            </w:r>
          </w:p>
        </w:tc>
        <w:tc>
          <w:tcPr>
            <w:tcW w:type="dxa" w:w="1134"/>
            <w:shd w:val="clear" w:color="auto" w:fill="D6E4F0"/>
          </w:tcPr>
          <w:p>
            <w:pPr>
              <w:jc w:val="center"/>
            </w:pPr>
            <w:r>
              <w:rPr>
                <w:sz w:val="18"/>
              </w:rPr>
              <w:t>65.12</w:t>
            </w:r>
          </w:p>
        </w:tc>
        <w:tc>
          <w:tcPr>
            <w:tcW w:type="dxa" w:w="1134"/>
            <w:shd w:val="clear" w:color="auto" w:fill="D6E4F0"/>
          </w:tcPr>
          <w:p>
            <w:pPr>
              <w:jc w:val="center"/>
            </w:pPr>
            <w:r>
              <w:rPr>
                <w:sz w:val="18"/>
              </w:rPr>
              <w:t>6.25</w:t>
            </w:r>
          </w:p>
        </w:tc>
        <w:tc>
          <w:tcPr>
            <w:tcW w:type="dxa" w:w="1134"/>
            <w:shd w:val="clear" w:color="auto" w:fill="D6E4F0"/>
          </w:tcPr>
          <w:p>
            <w:pPr>
              <w:jc w:val="center"/>
            </w:pPr>
            <w:r>
              <w:rPr>
                <w:sz w:val="18"/>
              </w:rPr>
              <w:t>0.5</w:t>
            </w:r>
          </w:p>
        </w:tc>
        <w:tc>
          <w:tcPr>
            <w:tcW w:type="dxa" w:w="1134"/>
            <w:shd w:val="clear" w:color="auto" w:fill="D6E4F0"/>
          </w:tcPr>
          <w:p>
            <w:pPr>
              <w:jc w:val="center"/>
            </w:pPr>
            <w:r>
              <w:rPr>
                <w:sz w:val="18"/>
              </w:rPr>
              <w:t>-3.07</w:t>
            </w:r>
          </w:p>
        </w:tc>
        <w:tc>
          <w:tcPr>
            <w:tcW w:type="dxa" w:w="1134"/>
            <w:shd w:val="clear" w:color="auto" w:fill="D6E4F0"/>
          </w:tcPr>
          <w:p>
            <w:pPr>
              <w:jc w:val="center"/>
            </w:pPr>
            <w:r>
              <w:rPr>
                <w:sz w:val="18"/>
              </w:rPr>
              <w:t>9.61</w:t>
            </w:r>
          </w:p>
        </w:tc>
        <w:tc>
          <w:tcPr>
            <w:tcW w:type="dxa" w:w="1134"/>
            <w:shd w:val="clear" w:color="auto" w:fill="D6E4F0"/>
          </w:tcPr>
          <w:p>
            <w:pPr>
              <w:jc w:val="center"/>
            </w:pPr>
            <w:r>
              <w:rPr>
                <w:sz w:val="18"/>
              </w:rPr>
              <w:t>9.11</w:t>
            </w:r>
          </w:p>
        </w:tc>
      </w:tr>
      <w:tr>
        <w:tc>
          <w:tcPr>
            <w:tcW w:type="dxa" w:w="1134"/>
          </w:tcPr>
          <w:p>
            <w:pPr>
              <w:jc w:val="center"/>
            </w:pPr>
            <w:r>
              <w:rPr>
                <w:sz w:val="18"/>
              </w:rPr>
              <w:t>2018.0</w:t>
            </w:r>
          </w:p>
        </w:tc>
        <w:tc>
          <w:tcPr>
            <w:tcW w:type="dxa" w:w="1134"/>
          </w:tcPr>
          <w:p>
            <w:pPr>
              <w:jc w:val="center"/>
            </w:pPr>
            <w:r>
              <w:rPr>
                <w:sz w:val="18"/>
              </w:rPr>
              <w:t>65.12</w:t>
            </w:r>
          </w:p>
        </w:tc>
        <w:tc>
          <w:tcPr>
            <w:tcW w:type="dxa" w:w="1134"/>
          </w:tcPr>
          <w:p>
            <w:pPr>
              <w:jc w:val="center"/>
            </w:pPr>
            <w:r>
              <w:rPr>
                <w:sz w:val="18"/>
              </w:rPr>
              <w:t>68.39</w:t>
            </w:r>
          </w:p>
        </w:tc>
        <w:tc>
          <w:tcPr>
            <w:tcW w:type="dxa" w:w="1134"/>
          </w:tcPr>
          <w:p>
            <w:pPr>
              <w:jc w:val="center"/>
            </w:pPr>
            <w:r>
              <w:rPr>
                <w:sz w:val="18"/>
              </w:rPr>
              <w:t>6.0</w:t>
            </w:r>
          </w:p>
        </w:tc>
        <w:tc>
          <w:tcPr>
            <w:tcW w:type="dxa" w:w="1134"/>
          </w:tcPr>
          <w:p>
            <w:pPr>
              <w:jc w:val="center"/>
            </w:pPr>
            <w:r>
              <w:rPr>
                <w:sz w:val="18"/>
              </w:rPr>
              <w:t>1.25</w:t>
            </w:r>
          </w:p>
        </w:tc>
        <w:tc>
          <w:tcPr>
            <w:tcW w:type="dxa" w:w="1134"/>
          </w:tcPr>
          <w:p>
            <w:pPr>
              <w:jc w:val="center"/>
            </w:pPr>
            <w:r>
              <w:rPr>
                <w:sz w:val="18"/>
              </w:rPr>
              <w:t>5.02</w:t>
            </w:r>
          </w:p>
        </w:tc>
        <w:tc>
          <w:tcPr>
            <w:tcW w:type="dxa" w:w="1134"/>
          </w:tcPr>
          <w:p>
            <w:pPr>
              <w:jc w:val="center"/>
            </w:pPr>
            <w:r>
              <w:rPr>
                <w:sz w:val="18"/>
              </w:rPr>
              <w:t>0.93</w:t>
            </w:r>
          </w:p>
        </w:tc>
        <w:tc>
          <w:tcPr>
            <w:tcW w:type="dxa" w:w="1134"/>
          </w:tcPr>
          <w:p>
            <w:pPr>
              <w:jc w:val="center"/>
            </w:pPr>
            <w:r>
              <w:rPr>
                <w:sz w:val="18"/>
              </w:rPr>
              <w:t>-0.32</w:t>
            </w:r>
          </w:p>
        </w:tc>
      </w:tr>
      <w:tr>
        <w:tc>
          <w:tcPr>
            <w:tcW w:type="dxa" w:w="1134"/>
            <w:shd w:val="clear" w:color="auto" w:fill="D6E4F0"/>
          </w:tcPr>
          <w:p>
            <w:pPr>
              <w:jc w:val="center"/>
            </w:pPr>
            <w:r>
              <w:rPr>
                <w:sz w:val="18"/>
              </w:rPr>
              <w:t>2019.0</w:t>
            </w:r>
          </w:p>
        </w:tc>
        <w:tc>
          <w:tcPr>
            <w:tcW w:type="dxa" w:w="1134"/>
            <w:shd w:val="clear" w:color="auto" w:fill="D6E4F0"/>
          </w:tcPr>
          <w:p>
            <w:pPr>
              <w:jc w:val="center"/>
            </w:pPr>
            <w:r>
              <w:rPr>
                <w:sz w:val="18"/>
              </w:rPr>
              <w:t>68.39</w:t>
            </w:r>
          </w:p>
        </w:tc>
        <w:tc>
          <w:tcPr>
            <w:tcW w:type="dxa" w:w="1134"/>
            <w:shd w:val="clear" w:color="auto" w:fill="D6E4F0"/>
          </w:tcPr>
          <w:p>
            <w:pPr>
              <w:jc w:val="center"/>
            </w:pPr>
            <w:r>
              <w:rPr>
                <w:sz w:val="18"/>
              </w:rPr>
              <w:t>70.39</w:t>
            </w:r>
          </w:p>
        </w:tc>
        <w:tc>
          <w:tcPr>
            <w:tcW w:type="dxa" w:w="1134"/>
            <w:shd w:val="clear" w:color="auto" w:fill="D6E4F0"/>
          </w:tcPr>
          <w:p>
            <w:pPr>
              <w:jc w:val="center"/>
            </w:pPr>
            <w:r>
              <w:rPr>
                <w:sz w:val="18"/>
              </w:rPr>
              <w:t>6.5</w:t>
            </w:r>
          </w:p>
        </w:tc>
        <w:tc>
          <w:tcPr>
            <w:tcW w:type="dxa" w:w="1134"/>
            <w:shd w:val="clear" w:color="auto" w:fill="D6E4F0"/>
          </w:tcPr>
          <w:p>
            <w:pPr>
              <w:jc w:val="center"/>
            </w:pPr>
            <w:r>
              <w:rPr>
                <w:sz w:val="18"/>
              </w:rPr>
              <w:t>2.4</w:t>
            </w:r>
          </w:p>
        </w:tc>
        <w:tc>
          <w:tcPr>
            <w:tcW w:type="dxa" w:w="1134"/>
            <w:shd w:val="clear" w:color="auto" w:fill="D6E4F0"/>
          </w:tcPr>
          <w:p>
            <w:pPr>
              <w:jc w:val="center"/>
            </w:pPr>
            <w:r>
              <w:rPr>
                <w:sz w:val="18"/>
              </w:rPr>
              <w:t>2.92</w:t>
            </w:r>
          </w:p>
        </w:tc>
        <w:tc>
          <w:tcPr>
            <w:tcW w:type="dxa" w:w="1134"/>
            <w:shd w:val="clear" w:color="auto" w:fill="D6E4F0"/>
          </w:tcPr>
          <w:p>
            <w:pPr>
              <w:jc w:val="center"/>
            </w:pPr>
            <w:r>
              <w:rPr>
                <w:sz w:val="18"/>
              </w:rPr>
              <w:t>3.47</w:t>
            </w:r>
          </w:p>
        </w:tc>
        <w:tc>
          <w:tcPr>
            <w:tcW w:type="dxa" w:w="1134"/>
            <w:shd w:val="clear" w:color="auto" w:fill="D6E4F0"/>
          </w:tcPr>
          <w:p>
            <w:pPr>
              <w:jc w:val="center"/>
            </w:pPr>
            <w:r>
              <w:rPr>
                <w:sz w:val="18"/>
              </w:rPr>
              <w:t>1.07</w:t>
            </w:r>
          </w:p>
        </w:tc>
      </w:tr>
      <w:tr>
        <w:tc>
          <w:tcPr>
            <w:tcW w:type="dxa" w:w="1134"/>
          </w:tcPr>
          <w:p>
            <w:pPr>
              <w:jc w:val="center"/>
            </w:pPr>
            <w:r>
              <w:rPr>
                <w:sz w:val="18"/>
              </w:rPr>
              <w:t>2020.0</w:t>
            </w:r>
          </w:p>
        </w:tc>
        <w:tc>
          <w:tcPr>
            <w:tcW w:type="dxa" w:w="1134"/>
          </w:tcPr>
          <w:p>
            <w:pPr>
              <w:jc w:val="center"/>
            </w:pPr>
            <w:r>
              <w:rPr>
                <w:sz w:val="18"/>
              </w:rPr>
              <w:t>70.39</w:t>
            </w:r>
          </w:p>
        </w:tc>
        <w:tc>
          <w:tcPr>
            <w:tcW w:type="dxa" w:w="1134"/>
          </w:tcPr>
          <w:p>
            <w:pPr>
              <w:jc w:val="center"/>
            </w:pPr>
            <w:r>
              <w:rPr>
                <w:sz w:val="18"/>
              </w:rPr>
              <w:t>74.13</w:t>
            </w:r>
          </w:p>
        </w:tc>
        <w:tc>
          <w:tcPr>
            <w:tcW w:type="dxa" w:w="1134"/>
          </w:tcPr>
          <w:p>
            <w:pPr>
              <w:jc w:val="center"/>
            </w:pPr>
            <w:r>
              <w:rPr>
                <w:sz w:val="18"/>
              </w:rPr>
              <w:t>5.15</w:t>
            </w:r>
          </w:p>
        </w:tc>
        <w:tc>
          <w:tcPr>
            <w:tcW w:type="dxa" w:w="1134"/>
          </w:tcPr>
          <w:p>
            <w:pPr>
              <w:jc w:val="center"/>
            </w:pPr>
            <w:r>
              <w:rPr>
                <w:sz w:val="18"/>
              </w:rPr>
              <w:t>1.55</w:t>
            </w:r>
          </w:p>
        </w:tc>
        <w:tc>
          <w:tcPr>
            <w:tcW w:type="dxa" w:w="1134"/>
          </w:tcPr>
          <w:p>
            <w:pPr>
              <w:jc w:val="center"/>
            </w:pPr>
            <w:r>
              <w:rPr>
                <w:sz w:val="18"/>
              </w:rPr>
              <w:t>5.31</w:t>
            </w:r>
          </w:p>
        </w:tc>
        <w:tc>
          <w:tcPr>
            <w:tcW w:type="dxa" w:w="1134"/>
          </w:tcPr>
          <w:p>
            <w:pPr>
              <w:jc w:val="center"/>
            </w:pPr>
            <w:r>
              <w:rPr>
                <w:sz w:val="18"/>
              </w:rPr>
              <w:t>-0.16</w:t>
            </w:r>
          </w:p>
        </w:tc>
        <w:tc>
          <w:tcPr>
            <w:tcW w:type="dxa" w:w="1134"/>
          </w:tcPr>
          <w:p>
            <w:pPr>
              <w:jc w:val="center"/>
            </w:pPr>
            <w:r>
              <w:rPr>
                <w:sz w:val="18"/>
              </w:rPr>
              <w:t>-1.71</w:t>
            </w:r>
          </w:p>
        </w:tc>
      </w:tr>
      <w:tr>
        <w:tc>
          <w:tcPr>
            <w:tcW w:type="dxa" w:w="1134"/>
            <w:shd w:val="clear" w:color="auto" w:fill="D6E4F0"/>
          </w:tcPr>
          <w:p>
            <w:pPr>
              <w:jc w:val="center"/>
            </w:pPr>
            <w:r>
              <w:rPr>
                <w:sz w:val="18"/>
              </w:rPr>
              <w:t>2021.0</w:t>
            </w:r>
          </w:p>
        </w:tc>
        <w:tc>
          <w:tcPr>
            <w:tcW w:type="dxa" w:w="1134"/>
            <w:shd w:val="clear" w:color="auto" w:fill="D6E4F0"/>
          </w:tcPr>
          <w:p>
            <w:pPr>
              <w:jc w:val="center"/>
            </w:pPr>
            <w:r>
              <w:rPr>
                <w:sz w:val="18"/>
              </w:rPr>
              <w:t>74.13</w:t>
            </w:r>
          </w:p>
        </w:tc>
        <w:tc>
          <w:tcPr>
            <w:tcW w:type="dxa" w:w="1134"/>
            <w:shd w:val="clear" w:color="auto" w:fill="D6E4F0"/>
          </w:tcPr>
          <w:p>
            <w:pPr>
              <w:jc w:val="center"/>
            </w:pPr>
            <w:r>
              <w:rPr>
                <w:sz w:val="18"/>
              </w:rPr>
              <w:t>73.94</w:t>
            </w:r>
          </w:p>
        </w:tc>
        <w:tc>
          <w:tcPr>
            <w:tcW w:type="dxa" w:w="1134"/>
            <w:shd w:val="clear" w:color="auto" w:fill="D6E4F0"/>
          </w:tcPr>
          <w:p>
            <w:pPr>
              <w:jc w:val="center"/>
            </w:pPr>
            <w:r>
              <w:rPr>
                <w:sz w:val="18"/>
              </w:rPr>
              <w:t>4.0</w:t>
            </w:r>
          </w:p>
        </w:tc>
        <w:tc>
          <w:tcPr>
            <w:tcW w:type="dxa" w:w="1134"/>
            <w:shd w:val="clear" w:color="auto" w:fill="D6E4F0"/>
          </w:tcPr>
          <w:p>
            <w:pPr>
              <w:jc w:val="center"/>
            </w:pPr>
            <w:r>
              <w:rPr>
                <w:sz w:val="18"/>
              </w:rPr>
              <w:t>0.1</w:t>
            </w:r>
          </w:p>
        </w:tc>
        <w:tc>
          <w:tcPr>
            <w:tcW w:type="dxa" w:w="1134"/>
            <w:shd w:val="clear" w:color="auto" w:fill="D6E4F0"/>
          </w:tcPr>
          <w:p>
            <w:pPr>
              <w:jc w:val="center"/>
            </w:pPr>
            <w:r>
              <w:rPr>
                <w:sz w:val="18"/>
              </w:rPr>
              <w:t>-0.26</w:t>
            </w:r>
          </w:p>
        </w:tc>
        <w:tc>
          <w:tcPr>
            <w:tcW w:type="dxa" w:w="1134"/>
            <w:shd w:val="clear" w:color="auto" w:fill="D6E4F0"/>
          </w:tcPr>
          <w:p>
            <w:pPr>
              <w:jc w:val="center"/>
            </w:pPr>
            <w:r>
              <w:rPr>
                <w:sz w:val="18"/>
              </w:rPr>
              <w:t>4.27</w:t>
            </w:r>
          </w:p>
        </w:tc>
        <w:tc>
          <w:tcPr>
            <w:tcW w:type="dxa" w:w="1134"/>
            <w:shd w:val="clear" w:color="auto" w:fill="D6E4F0"/>
          </w:tcPr>
          <w:p>
            <w:pPr>
              <w:jc w:val="center"/>
            </w:pPr>
            <w:r>
              <w:rPr>
                <w:sz w:val="18"/>
              </w:rPr>
              <w:t>4.17</w:t>
            </w:r>
          </w:p>
        </w:tc>
      </w:tr>
      <w:tr>
        <w:tc>
          <w:tcPr>
            <w:tcW w:type="dxa" w:w="1134"/>
          </w:tcPr>
          <w:p>
            <w:pPr>
              <w:jc w:val="center"/>
            </w:pPr>
            <w:r>
              <w:rPr>
                <w:sz w:val="18"/>
              </w:rPr>
              <w:t>2022.0</w:t>
            </w:r>
          </w:p>
        </w:tc>
        <w:tc>
          <w:tcPr>
            <w:tcW w:type="dxa" w:w="1134"/>
          </w:tcPr>
          <w:p>
            <w:pPr>
              <w:jc w:val="center"/>
            </w:pPr>
            <w:r>
              <w:rPr>
                <w:sz w:val="18"/>
              </w:rPr>
              <w:t>73.94</w:t>
            </w:r>
          </w:p>
        </w:tc>
        <w:tc>
          <w:tcPr>
            <w:tcW w:type="dxa" w:w="1134"/>
          </w:tcPr>
          <w:p>
            <w:pPr>
              <w:jc w:val="center"/>
            </w:pPr>
            <w:r>
              <w:rPr>
                <w:sz w:val="18"/>
              </w:rPr>
              <w:t>78.6</w:t>
            </w:r>
          </w:p>
        </w:tc>
        <w:tc>
          <w:tcPr>
            <w:tcW w:type="dxa" w:w="1134"/>
          </w:tcPr>
          <w:p>
            <w:pPr>
              <w:jc w:val="center"/>
            </w:pPr>
            <w:r>
              <w:rPr>
                <w:sz w:val="18"/>
              </w:rPr>
              <w:t>4.0</w:t>
            </w:r>
          </w:p>
        </w:tc>
        <w:tc>
          <w:tcPr>
            <w:tcW w:type="dxa" w:w="1134"/>
          </w:tcPr>
          <w:p>
            <w:pPr>
              <w:jc w:val="center"/>
            </w:pPr>
            <w:r>
              <w:rPr>
                <w:sz w:val="18"/>
              </w:rPr>
              <w:t>0.1</w:t>
            </w:r>
          </w:p>
        </w:tc>
        <w:tc>
          <w:tcPr>
            <w:tcW w:type="dxa" w:w="1134"/>
          </w:tcPr>
          <w:p>
            <w:pPr>
              <w:jc w:val="center"/>
            </w:pPr>
            <w:r>
              <w:rPr>
                <w:sz w:val="18"/>
              </w:rPr>
              <w:t>6.3</w:t>
            </w:r>
          </w:p>
        </w:tc>
        <w:tc>
          <w:tcPr>
            <w:tcW w:type="dxa" w:w="1134"/>
          </w:tcPr>
          <w:p>
            <w:pPr>
              <w:jc w:val="center"/>
            </w:pPr>
            <w:r>
              <w:rPr>
                <w:sz w:val="18"/>
              </w:rPr>
              <w:t>-2.17</w:t>
            </w:r>
          </w:p>
        </w:tc>
        <w:tc>
          <w:tcPr>
            <w:tcW w:type="dxa" w:w="1134"/>
          </w:tcPr>
          <w:p>
            <w:pPr>
              <w:jc w:val="center"/>
            </w:pPr>
            <w:r>
              <w:rPr>
                <w:sz w:val="18"/>
              </w:rPr>
              <w:t>-2.27</w:t>
            </w:r>
          </w:p>
        </w:tc>
      </w:tr>
      <w:tr>
        <w:tc>
          <w:tcPr>
            <w:tcW w:type="dxa" w:w="1134"/>
            <w:shd w:val="clear" w:color="auto" w:fill="D6E4F0"/>
          </w:tcPr>
          <w:p>
            <w:pPr>
              <w:jc w:val="center"/>
            </w:pPr>
            <w:r>
              <w:rPr>
                <w:sz w:val="18"/>
              </w:rPr>
              <w:t>2023.0</w:t>
            </w:r>
          </w:p>
        </w:tc>
        <w:tc>
          <w:tcPr>
            <w:tcW w:type="dxa" w:w="1134"/>
            <w:shd w:val="clear" w:color="auto" w:fill="D6E4F0"/>
          </w:tcPr>
          <w:p>
            <w:pPr>
              <w:jc w:val="center"/>
            </w:pPr>
            <w:r>
              <w:rPr>
                <w:sz w:val="18"/>
              </w:rPr>
              <w:t>78.6</w:t>
            </w:r>
          </w:p>
        </w:tc>
        <w:tc>
          <w:tcPr>
            <w:tcW w:type="dxa" w:w="1134"/>
            <w:shd w:val="clear" w:color="auto" w:fill="D6E4F0"/>
          </w:tcPr>
          <w:p>
            <w:pPr>
              <w:jc w:val="center"/>
            </w:pPr>
            <w:r>
              <w:rPr>
                <w:sz w:val="18"/>
              </w:rPr>
              <w:t>82.57</w:t>
            </w:r>
          </w:p>
        </w:tc>
        <w:tc>
          <w:tcPr>
            <w:tcW w:type="dxa" w:w="1134"/>
            <w:shd w:val="clear" w:color="auto" w:fill="D6E4F0"/>
          </w:tcPr>
          <w:p>
            <w:pPr>
              <w:jc w:val="center"/>
            </w:pPr>
            <w:r>
              <w:rPr>
                <w:sz w:val="18"/>
              </w:rPr>
              <w:t>6.25</w:t>
            </w:r>
          </w:p>
        </w:tc>
        <w:tc>
          <w:tcPr>
            <w:tcW w:type="dxa" w:w="1134"/>
            <w:shd w:val="clear" w:color="auto" w:fill="D6E4F0"/>
          </w:tcPr>
          <w:p>
            <w:pPr>
              <w:jc w:val="center"/>
            </w:pPr>
            <w:r>
              <w:rPr>
                <w:sz w:val="18"/>
              </w:rPr>
              <w:t>4.33</w:t>
            </w:r>
          </w:p>
        </w:tc>
        <w:tc>
          <w:tcPr>
            <w:tcW w:type="dxa" w:w="1134"/>
            <w:shd w:val="clear" w:color="auto" w:fill="D6E4F0"/>
          </w:tcPr>
          <w:p>
            <w:pPr>
              <w:jc w:val="center"/>
            </w:pPr>
            <w:r>
              <w:rPr>
                <w:sz w:val="18"/>
              </w:rPr>
              <w:t>5.05</w:t>
            </w:r>
          </w:p>
        </w:tc>
        <w:tc>
          <w:tcPr>
            <w:tcW w:type="dxa" w:w="1134"/>
            <w:shd w:val="clear" w:color="auto" w:fill="D6E4F0"/>
          </w:tcPr>
          <w:p>
            <w:pPr>
              <w:jc w:val="center"/>
            </w:pPr>
            <w:r>
              <w:rPr>
                <w:sz w:val="18"/>
              </w:rPr>
              <w:t>1.14</w:t>
            </w:r>
          </w:p>
        </w:tc>
        <w:tc>
          <w:tcPr>
            <w:tcW w:type="dxa" w:w="1134"/>
            <w:shd w:val="clear" w:color="auto" w:fill="D6E4F0"/>
          </w:tcPr>
          <w:p>
            <w:pPr>
              <w:jc w:val="center"/>
            </w:pPr>
            <w:r>
              <w:rPr>
                <w:sz w:val="18"/>
              </w:rPr>
              <w:t>-3.19</w:t>
            </w:r>
          </w:p>
        </w:tc>
      </w:tr>
      <w:tr>
        <w:tc>
          <w:tcPr>
            <w:tcW w:type="dxa" w:w="1134"/>
          </w:tcPr>
          <w:p>
            <w:pPr>
              <w:jc w:val="center"/>
            </w:pPr>
            <w:r>
              <w:rPr>
                <w:sz w:val="18"/>
              </w:rPr>
              <w:t>2024.0</w:t>
            </w:r>
          </w:p>
        </w:tc>
        <w:tc>
          <w:tcPr>
            <w:tcW w:type="dxa" w:w="1134"/>
          </w:tcPr>
          <w:p>
            <w:pPr>
              <w:jc w:val="center"/>
            </w:pPr>
            <w:r>
              <w:rPr>
                <w:sz w:val="18"/>
              </w:rPr>
              <w:t>82.57</w:t>
            </w:r>
          </w:p>
        </w:tc>
        <w:tc>
          <w:tcPr>
            <w:tcW w:type="dxa" w:w="1134"/>
          </w:tcPr>
          <w:p>
            <w:pPr>
              <w:jc w:val="center"/>
            </w:pPr>
            <w:r>
              <w:rPr>
                <w:sz w:val="18"/>
              </w:rPr>
              <w:t>83.68</w:t>
            </w:r>
          </w:p>
        </w:tc>
        <w:tc>
          <w:tcPr>
            <w:tcW w:type="dxa" w:w="1134"/>
          </w:tcPr>
          <w:p>
            <w:pPr>
              <w:jc w:val="center"/>
            </w:pPr>
            <w:r>
              <w:rPr>
                <w:sz w:val="18"/>
              </w:rPr>
              <w:t>6.5</w:t>
            </w:r>
          </w:p>
        </w:tc>
        <w:tc>
          <w:tcPr>
            <w:tcW w:type="dxa" w:w="1134"/>
          </w:tcPr>
          <w:p>
            <w:pPr>
              <w:jc w:val="center"/>
            </w:pPr>
            <w:r>
              <w:rPr>
                <w:sz w:val="18"/>
              </w:rPr>
              <w:t>5.33</w:t>
            </w:r>
          </w:p>
        </w:tc>
        <w:tc>
          <w:tcPr>
            <w:tcW w:type="dxa" w:w="1134"/>
          </w:tcPr>
          <w:p>
            <w:pPr>
              <w:jc w:val="center"/>
            </w:pPr>
            <w:r>
              <w:rPr>
                <w:sz w:val="18"/>
              </w:rPr>
              <w:t>1.34</w:t>
            </w:r>
          </w:p>
        </w:tc>
        <w:tc>
          <w:tcPr>
            <w:tcW w:type="dxa" w:w="1134"/>
          </w:tcPr>
          <w:p>
            <w:pPr>
              <w:jc w:val="center"/>
            </w:pPr>
            <w:r>
              <w:rPr>
                <w:sz w:val="18"/>
              </w:rPr>
              <w:t>5.09</w:t>
            </w:r>
          </w:p>
        </w:tc>
        <w:tc>
          <w:tcPr>
            <w:tcW w:type="dxa" w:w="1134"/>
          </w:tcPr>
          <w:p>
            <w:pPr>
              <w:jc w:val="center"/>
            </w:pPr>
            <w:r>
              <w:rPr>
                <w:sz w:val="18"/>
              </w:rPr>
              <w:t>-0.24</w:t>
            </w:r>
          </w:p>
        </w:tc>
      </w:tr>
      <w:tr>
        <w:tc>
          <w:tcPr>
            <w:tcW w:type="dxa" w:w="1134"/>
            <w:shd w:val="clear" w:color="auto" w:fill="D6E4F0"/>
          </w:tcPr>
          <w:p>
            <w:pPr>
              <w:jc w:val="center"/>
            </w:pPr>
            <w:r>
              <w:rPr>
                <w:sz w:val="18"/>
              </w:rPr>
              <w:t>2025.0</w:t>
            </w:r>
          </w:p>
        </w:tc>
        <w:tc>
          <w:tcPr>
            <w:tcW w:type="dxa" w:w="1134"/>
            <w:shd w:val="clear" w:color="auto" w:fill="D6E4F0"/>
          </w:tcPr>
          <w:p>
            <w:pPr>
              <w:jc w:val="center"/>
            </w:pPr>
            <w:r>
              <w:rPr>
                <w:sz w:val="18"/>
              </w:rPr>
              <w:t>83.68</w:t>
            </w:r>
          </w:p>
        </w:tc>
        <w:tc>
          <w:tcPr>
            <w:tcW w:type="dxa" w:w="1134"/>
            <w:shd w:val="clear" w:color="auto" w:fill="D6E4F0"/>
          </w:tcPr>
          <w:p>
            <w:pPr>
              <w:jc w:val="center"/>
            </w:pPr>
            <w:r>
              <w:rPr>
                <w:sz w:val="18"/>
              </w:rPr>
              <w:t>87.13</w:t>
            </w:r>
          </w:p>
        </w:tc>
        <w:tc>
          <w:tcPr>
            <w:tcW w:type="dxa" w:w="1134"/>
            <w:shd w:val="clear" w:color="auto" w:fill="D6E4F0"/>
          </w:tcPr>
          <w:p>
            <w:pPr>
              <w:jc w:val="center"/>
            </w:pPr>
            <w:r>
              <w:rPr>
                <w:sz w:val="18"/>
              </w:rPr>
              <w:t>6.5</w:t>
            </w:r>
          </w:p>
        </w:tc>
        <w:tc>
          <w:tcPr>
            <w:tcW w:type="dxa" w:w="1134"/>
            <w:shd w:val="clear" w:color="auto" w:fill="D6E4F0"/>
          </w:tcPr>
          <w:p>
            <w:pPr>
              <w:jc w:val="center"/>
            </w:pPr>
            <w:r>
              <w:rPr>
                <w:sz w:val="18"/>
              </w:rPr>
              <w:t>4.5</w:t>
            </w:r>
          </w:p>
        </w:tc>
        <w:tc>
          <w:tcPr>
            <w:tcW w:type="dxa" w:w="1134"/>
            <w:shd w:val="clear" w:color="auto" w:fill="D6E4F0"/>
          </w:tcPr>
          <w:p>
            <w:pPr>
              <w:jc w:val="center"/>
            </w:pPr>
            <w:r>
              <w:rPr>
                <w:sz w:val="18"/>
              </w:rPr>
              <w:t>4.12</w:t>
            </w:r>
          </w:p>
        </w:tc>
        <w:tc>
          <w:tcPr>
            <w:tcW w:type="dxa" w:w="1134"/>
            <w:shd w:val="clear" w:color="auto" w:fill="D6E4F0"/>
          </w:tcPr>
          <w:p>
            <w:pPr>
              <w:jc w:val="center"/>
            </w:pPr>
            <w:r>
              <w:rPr>
                <w:sz w:val="18"/>
              </w:rPr>
              <w:t>2.28</w:t>
            </w:r>
          </w:p>
        </w:tc>
        <w:tc>
          <w:tcPr>
            <w:tcW w:type="dxa" w:w="1134"/>
            <w:shd w:val="clear" w:color="auto" w:fill="D6E4F0"/>
          </w:tcPr>
          <w:p>
            <w:pPr>
              <w:jc w:val="center"/>
            </w:pPr>
            <w:r>
              <w:rPr>
                <w:sz w:val="18"/>
              </w:rPr>
              <w:t>-2.22</w:t>
            </w:r>
          </w:p>
        </w:tc>
      </w:tr>
      <w:tr>
        <w:tc>
          <w:tcPr>
            <w:tcW w:type="dxa" w:w="1134"/>
          </w:tcPr>
          <w:p>
            <w:pPr>
              <w:jc w:val="center"/>
            </w:pPr>
            <w:r>
              <w:rPr>
                <w:sz w:val="18"/>
              </w:rPr>
              <w:t>2026.0</w:t>
            </w:r>
          </w:p>
        </w:tc>
        <w:tc>
          <w:tcPr>
            <w:tcW w:type="dxa" w:w="1134"/>
          </w:tcPr>
          <w:p>
            <w:pPr>
              <w:jc w:val="center"/>
            </w:pPr>
            <w:r>
              <w:rPr>
                <w:sz w:val="18"/>
              </w:rPr>
              <w:t>87.13</w:t>
            </w:r>
          </w:p>
        </w:tc>
        <w:tc>
          <w:tcPr>
            <w:tcW w:type="dxa" w:w="1134"/>
          </w:tcPr>
          <w:p>
            <w:pPr>
              <w:jc w:val="center"/>
            </w:pPr>
            <w:r>
              <w:rPr>
                <w:sz w:val="18"/>
              </w:rPr>
              <w:t>93.09</w:t>
            </w:r>
          </w:p>
        </w:tc>
        <w:tc>
          <w:tcPr>
            <w:tcW w:type="dxa" w:w="1134"/>
          </w:tcPr>
          <w:p>
            <w:pPr>
              <w:jc w:val="center"/>
            </w:pPr>
            <w:r>
              <w:rPr>
                <w:sz w:val="18"/>
              </w:rPr>
              <w:t>5.25</w:t>
            </w:r>
          </w:p>
        </w:tc>
        <w:tc>
          <w:tcPr>
            <w:tcW w:type="dxa" w:w="1134"/>
          </w:tcPr>
          <w:p>
            <w:pPr>
              <w:jc w:val="center"/>
            </w:pPr>
            <w:r>
              <w:rPr>
                <w:sz w:val="18"/>
              </w:rPr>
              <w:t>4.0</w:t>
            </w:r>
          </w:p>
        </w:tc>
        <w:tc>
          <w:tcPr>
            <w:tcW w:type="dxa" w:w="1134"/>
          </w:tcPr>
          <w:p>
            <w:pPr>
              <w:jc w:val="center"/>
            </w:pPr>
            <w:r>
              <w:rPr>
                <w:sz w:val="18"/>
              </w:rPr>
              <w:t>6.84</w:t>
            </w:r>
          </w:p>
        </w:tc>
        <w:tc>
          <w:tcPr>
            <w:tcW w:type="dxa" w:w="1134"/>
          </w:tcPr>
          <w:p>
            <w:pPr>
              <w:jc w:val="center"/>
            </w:pPr>
            <w:r>
              <w:rPr>
                <w:sz w:val="18"/>
              </w:rPr>
              <w:t>-1.49</w:t>
            </w:r>
          </w:p>
        </w:tc>
        <w:tc>
          <w:tcPr>
            <w:tcW w:type="dxa" w:w="1134"/>
          </w:tcPr>
          <w:p>
            <w:pPr>
              <w:jc w:val="center"/>
            </w:pPr>
            <w:r>
              <w:rPr>
                <w:sz w:val="18"/>
              </w:rPr>
              <w:t>-5.49</w:t>
            </w:r>
          </w:p>
        </w:tc>
      </w:tr>
    </w:tbl>
    <w:p/>
    <w:p>
      <w:r>
        <w:t>Chart: Carry Earned vs INR Depreciation</w:t>
      </w:r>
    </w:p>
    <w:p>
      <w:pPr>
        <w:jc w:val="center"/>
      </w:pPr>
      <w:r>
        <w:drawing>
          <wp:inline xmlns:a="http://schemas.openxmlformats.org/drawingml/2006/main" xmlns:pic="http://schemas.openxmlformats.org/drawingml/2006/picture">
            <wp:extent cx="5669280" cy="2800422"/>
            <wp:docPr id="1" name="Picture 1"/>
            <wp:cNvGraphicFramePr>
              <a:graphicFrameLocks noChangeAspect="1"/>
            </wp:cNvGraphicFramePr>
            <a:graphic>
              <a:graphicData uri="http://schemas.openxmlformats.org/drawingml/2006/picture">
                <pic:pic>
                  <pic:nvPicPr>
                    <pic:cNvPr id="0" name="01_carry_vs_depreciation.png"/>
                    <pic:cNvPicPr/>
                  </pic:nvPicPr>
                  <pic:blipFill>
                    <a:blip r:embed="rId9"/>
                    <a:stretch>
                      <a:fillRect/>
                    </a:stretch>
                  </pic:blipFill>
                  <pic:spPr>
                    <a:xfrm>
                      <a:off x="0" y="0"/>
                      <a:ext cx="5669280" cy="2800422"/>
                    </a:xfrm>
                    <a:prstGeom prst="rect"/>
                  </pic:spPr>
                </pic:pic>
              </a:graphicData>
            </a:graphic>
          </wp:inline>
        </w:drawing>
      </w:r>
    </w:p>
    <w:p>
      <w:r>
        <w:br w:type="page"/>
      </w:r>
    </w:p>
    <w:p>
      <w:pPr>
        <w:pStyle w:val="Heading1"/>
      </w:pPr>
      <w:r>
        <w:t>5. P&amp;L Decomposition</w:t>
      </w:r>
    </w:p>
    <w:p>
      <w:r>
        <w:t>The chart below breaks down the investor's return into two components: (1) Gross USD return from the INR investment after converting back, and (2) the cost of borrowing in USD. The net P&amp;L (black diamond) is what the investor takes home.</w:t>
      </w:r>
    </w:p>
    <w:p>
      <w:pPr>
        <w:jc w:val="center"/>
      </w:pPr>
      <w:r>
        <w:drawing>
          <wp:inline xmlns:a="http://schemas.openxmlformats.org/drawingml/2006/main" xmlns:pic="http://schemas.openxmlformats.org/drawingml/2006/picture">
            <wp:extent cx="5669280" cy="2800422"/>
            <wp:docPr id="2" name="Picture 2"/>
            <wp:cNvGraphicFramePr>
              <a:graphicFrameLocks noChangeAspect="1"/>
            </wp:cNvGraphicFramePr>
            <a:graphic>
              <a:graphicData uri="http://schemas.openxmlformats.org/drawingml/2006/picture">
                <pic:pic>
                  <pic:nvPicPr>
                    <pic:cNvPr id="0" name="06_pnl_decomposition.png"/>
                    <pic:cNvPicPr/>
                  </pic:nvPicPr>
                  <pic:blipFill>
                    <a:blip r:embed="rId10"/>
                    <a:stretch>
                      <a:fillRect/>
                    </a:stretch>
                  </pic:blipFill>
                  <pic:spPr>
                    <a:xfrm>
                      <a:off x="0" y="0"/>
                      <a:ext cx="5669280" cy="2800422"/>
                    </a:xfrm>
                    <a:prstGeom prst="rect"/>
                  </pic:spPr>
                </pic:pic>
              </a:graphicData>
            </a:graphic>
          </wp:inline>
        </w:drawing>
      </w:r>
    </w:p>
    <w:p/>
    <w:p>
      <w:r>
        <w:t>Chart: Net P&amp;L by Year (Green = Profit, Red = Loss)</w:t>
      </w:r>
    </w:p>
    <w:p>
      <w:pPr>
        <w:jc w:val="center"/>
      </w:pPr>
      <w:r>
        <w:drawing>
          <wp:inline xmlns:a="http://schemas.openxmlformats.org/drawingml/2006/main" xmlns:pic="http://schemas.openxmlformats.org/drawingml/2006/picture">
            <wp:extent cx="5669280" cy="2800422"/>
            <wp:docPr id="3" name="Picture 3"/>
            <wp:cNvGraphicFramePr>
              <a:graphicFrameLocks noChangeAspect="1"/>
            </wp:cNvGraphicFramePr>
            <a:graphic>
              <a:graphicData uri="http://schemas.openxmlformats.org/drawingml/2006/picture">
                <pic:pic>
                  <pic:nvPicPr>
                    <pic:cNvPr id="0" name="02_net_pnl_by_year.png"/>
                    <pic:cNvPicPr/>
                  </pic:nvPicPr>
                  <pic:blipFill>
                    <a:blip r:embed="rId11"/>
                    <a:stretch>
                      <a:fillRect/>
                    </a:stretch>
                  </pic:blipFill>
                  <pic:spPr>
                    <a:xfrm>
                      <a:off x="0" y="0"/>
                      <a:ext cx="5669280" cy="2800422"/>
                    </a:xfrm>
                    <a:prstGeom prst="rect"/>
                  </pic:spPr>
                </pic:pic>
              </a:graphicData>
            </a:graphic>
          </wp:inline>
        </w:drawing>
      </w:r>
    </w:p>
    <w:p>
      <w:r>
        <w:br w:type="page"/>
      </w:r>
    </w:p>
    <w:p>
      <w:pPr>
        <w:pStyle w:val="Heading1"/>
      </w:pPr>
      <w:r>
        <w:t>6. Cumulative Return Analysis</w:t>
      </w:r>
    </w:p>
    <w:p>
      <w:r>
        <w:t>The chart below shows the growth (or erosion) of $1 invested in the carry trade starting in 2016, with annual reinvestment.</w:t>
      </w:r>
    </w:p>
    <w:p>
      <w:pPr>
        <w:jc w:val="center"/>
      </w:pPr>
      <w:r>
        <w:drawing>
          <wp:inline xmlns:a="http://schemas.openxmlformats.org/drawingml/2006/main" xmlns:pic="http://schemas.openxmlformats.org/drawingml/2006/picture">
            <wp:extent cx="5669280" cy="2822238"/>
            <wp:docPr id="4" name="Picture 4"/>
            <wp:cNvGraphicFramePr>
              <a:graphicFrameLocks noChangeAspect="1"/>
            </wp:cNvGraphicFramePr>
            <a:graphic>
              <a:graphicData uri="http://schemas.openxmlformats.org/drawingml/2006/picture">
                <pic:pic>
                  <pic:nvPicPr>
                    <pic:cNvPr id="0" name="03_cumulative_return.png"/>
                    <pic:cNvPicPr/>
                  </pic:nvPicPr>
                  <pic:blipFill>
                    <a:blip r:embed="rId12"/>
                    <a:stretch>
                      <a:fillRect/>
                    </a:stretch>
                  </pic:blipFill>
                  <pic:spPr>
                    <a:xfrm>
                      <a:off x="0" y="0"/>
                      <a:ext cx="5669280" cy="2822238"/>
                    </a:xfrm>
                    <a:prstGeom prst="rect"/>
                  </pic:spPr>
                </pic:pic>
              </a:graphicData>
            </a:graphic>
          </wp:inline>
        </w:drawing>
      </w:r>
    </w:p>
    <w:p>
      <w:r>
        <w:t>A $1 investment in 2016 would be worth $0.982 by 2026 — a cumulative loss of 1.8%. The investor would have been better off leaving the money in a US money market account.</w:t>
      </w:r>
    </w:p>
    <w:p>
      <w:r>
        <w:br w:type="page"/>
      </w:r>
    </w:p>
    <w:p>
      <w:pPr>
        <w:pStyle w:val="Heading1"/>
      </w:pPr>
      <w:r>
        <w:t>7. Interest Rate Environment</w:t>
      </w:r>
    </w:p>
    <w:p>
      <w:r>
        <w:t>The carry differential — the gap between RBI Repo and US Fed Funds rates — is the 'income' side of the trade. This differential has compressed dramatically since 2022 as the US Fed raised rates aggressively while RBI hikes were more measured.</w:t>
      </w:r>
    </w:p>
    <w:p>
      <w:pPr>
        <w:jc w:val="center"/>
      </w:pPr>
      <w:r>
        <w:drawing>
          <wp:inline xmlns:a="http://schemas.openxmlformats.org/drawingml/2006/main" xmlns:pic="http://schemas.openxmlformats.org/drawingml/2006/picture">
            <wp:extent cx="5669280" cy="4029541"/>
            <wp:docPr id="5" name="Picture 5"/>
            <wp:cNvGraphicFramePr>
              <a:graphicFrameLocks noChangeAspect="1"/>
            </wp:cNvGraphicFramePr>
            <a:graphic>
              <a:graphicData uri="http://schemas.openxmlformats.org/drawingml/2006/picture">
                <pic:pic>
                  <pic:nvPicPr>
                    <pic:cNvPr id="0" name="04_interest_rates.png"/>
                    <pic:cNvPicPr/>
                  </pic:nvPicPr>
                  <pic:blipFill>
                    <a:blip r:embed="rId13"/>
                    <a:stretch>
                      <a:fillRect/>
                    </a:stretch>
                  </pic:blipFill>
                  <pic:spPr>
                    <a:xfrm>
                      <a:off x="0" y="0"/>
                      <a:ext cx="5669280" cy="4029541"/>
                    </a:xfrm>
                    <a:prstGeom prst="rect"/>
                  </pic:spPr>
                </pic:pic>
              </a:graphicData>
            </a:graphic>
          </wp:inline>
        </w:drawing>
      </w:r>
    </w:p>
    <w:p>
      <w:r>
        <w:t>Key observation: The differential fell from 5.75% in 2016 to just 1.17% in 2023 — the narrowest in a decade. Even with recent US rate cuts, it has only recovered to 1.50% in 2026, well below the 3%+ levels seen in 2016-2021.</w:t>
      </w:r>
    </w:p>
    <w:p>
      <w:r>
        <w:br w:type="page"/>
      </w:r>
    </w:p>
    <w:p>
      <w:pPr>
        <w:pStyle w:val="Heading1"/>
      </w:pPr>
      <w:r>
        <w:t>8. Currency Trend Analysis</w:t>
      </w:r>
    </w:p>
    <w:p>
      <w:r>
        <w:t>The USD/INR exchange rate is the 'risk' side of the trade. INR has been on a secular depreciation trend, driven by India's structural current account deficit, oil import dependency, and periodic risk-off episodes.</w:t>
      </w:r>
    </w:p>
    <w:p>
      <w:pPr>
        <w:jc w:val="center"/>
      </w:pPr>
      <w:r>
        <w:drawing>
          <wp:inline xmlns:a="http://schemas.openxmlformats.org/drawingml/2006/main" xmlns:pic="http://schemas.openxmlformats.org/drawingml/2006/picture">
            <wp:extent cx="5669280" cy="2801775"/>
            <wp:docPr id="6" name="Picture 6"/>
            <wp:cNvGraphicFramePr>
              <a:graphicFrameLocks noChangeAspect="1"/>
            </wp:cNvGraphicFramePr>
            <a:graphic>
              <a:graphicData uri="http://schemas.openxmlformats.org/drawingml/2006/picture">
                <pic:pic>
                  <pic:nvPicPr>
                    <pic:cNvPr id="0" name="05_usdinr_trend.png"/>
                    <pic:cNvPicPr/>
                  </pic:nvPicPr>
                  <pic:blipFill>
                    <a:blip r:embed="rId14"/>
                    <a:stretch>
                      <a:fillRect/>
                    </a:stretch>
                  </pic:blipFill>
                  <pic:spPr>
                    <a:xfrm>
                      <a:off x="0" y="0"/>
                      <a:ext cx="5669280" cy="2801775"/>
                    </a:xfrm>
                    <a:prstGeom prst="rect"/>
                  </pic:spPr>
                </pic:pic>
              </a:graphicData>
            </a:graphic>
          </wp:inline>
        </w:drawing>
      </w:r>
    </w:p>
    <w:p>
      <w:r>
        <w:t>The INR depreciated from an average of 67.18 in 2016 to 93.09 in 2026 (YTD), a cumulative decline of approximately 39%. The all-time low of 99.82 was hit in March 2026 during the global tariff shock.</w:t>
      </w:r>
    </w:p>
    <w:p>
      <w:r>
        <w:br w:type="page"/>
      </w:r>
    </w:p>
    <w:p>
      <w:pPr>
        <w:pStyle w:val="Heading1"/>
      </w:pPr>
      <w:r>
        <w:t>9. Inflation &amp; Purchasing Power Parity Analysis</w:t>
      </w:r>
    </w:p>
    <w:p>
      <w:r>
        <w:t>While a US investor does not directly face Indian inflation, the inflation differential between India and the US is a key predictor of long-run INR depreciation via purchasing power parity (PPP). The chart below compares the two.</w:t>
      </w:r>
    </w:p>
    <w:p>
      <w:pPr>
        <w:jc w:val="center"/>
      </w:pPr>
      <w:r>
        <w:drawing>
          <wp:inline xmlns:a="http://schemas.openxmlformats.org/drawingml/2006/main" xmlns:pic="http://schemas.openxmlformats.org/drawingml/2006/picture">
            <wp:extent cx="5669280" cy="2800422"/>
            <wp:docPr id="7" name="Picture 7"/>
            <wp:cNvGraphicFramePr>
              <a:graphicFrameLocks noChangeAspect="1"/>
            </wp:cNvGraphicFramePr>
            <a:graphic>
              <a:graphicData uri="http://schemas.openxmlformats.org/drawingml/2006/picture">
                <pic:pic>
                  <pic:nvPicPr>
                    <pic:cNvPr id="0" name="07_inflation_vs_depreciation.png"/>
                    <pic:cNvPicPr/>
                  </pic:nvPicPr>
                  <pic:blipFill>
                    <a:blip r:embed="rId15"/>
                    <a:stretch>
                      <a:fillRect/>
                    </a:stretch>
                  </pic:blipFill>
                  <pic:spPr>
                    <a:xfrm>
                      <a:off x="0" y="0"/>
                      <a:ext cx="5669280" cy="2800422"/>
                    </a:xfrm>
                    <a:prstGeom prst="rect"/>
                  </pic:spPr>
                </pic:pic>
              </a:graphicData>
            </a:graphic>
          </wp:inline>
        </w:drawing>
      </w:r>
    </w:p>
    <w:p>
      <w:r>
        <w:t>Finding: Actual INR depreciation consistently overshoots what the inflation differential alone would predict. The average inflation differential was ~1.6% p.a., but actual depreciation averaged ~3.4% p.a. This excess depreciation (driven by capital flows, trade deficit, oil prices, and dollar strength cycles) is what makes the carry trade a losing proposition.</w:t>
      </w:r>
    </w:p>
    <w:p>
      <w:r>
        <w:br w:type="page"/>
      </w:r>
    </w:p>
    <w:p>
      <w:pPr>
        <w:pStyle w:val="Heading1"/>
      </w:pPr>
      <w:r>
        <w:t>10. Carry Attractiveness Over Time</w:t>
      </w:r>
    </w:p>
    <w:p>
      <w:r>
        <w:t>The 'Carry Attractiveness Ratio' measures the carry differential divided by the absolute value of INR depreciation. A ratio above 1.0 means the carry covered the currency cost; below 1.0 means it did not.</w:t>
      </w:r>
    </w:p>
    <w:p>
      <w:pPr>
        <w:jc w:val="center"/>
      </w:pPr>
      <w:r>
        <w:drawing>
          <wp:inline xmlns:a="http://schemas.openxmlformats.org/drawingml/2006/main" xmlns:pic="http://schemas.openxmlformats.org/drawingml/2006/picture">
            <wp:extent cx="5669280" cy="2800422"/>
            <wp:docPr id="8" name="Picture 8"/>
            <wp:cNvGraphicFramePr>
              <a:graphicFrameLocks noChangeAspect="1"/>
            </wp:cNvGraphicFramePr>
            <a:graphic>
              <a:graphicData uri="http://schemas.openxmlformats.org/drawingml/2006/picture">
                <pic:pic>
                  <pic:nvPicPr>
                    <pic:cNvPr id="0" name="08_carry_attractiveness.png"/>
                    <pic:cNvPicPr/>
                  </pic:nvPicPr>
                  <pic:blipFill>
                    <a:blip r:embed="rId16"/>
                    <a:stretch>
                      <a:fillRect/>
                    </a:stretch>
                  </pic:blipFill>
                  <pic:spPr>
                    <a:xfrm>
                      <a:off x="0" y="0"/>
                      <a:ext cx="5669280" cy="2800422"/>
                    </a:xfrm>
                    <a:prstGeom prst="rect"/>
                  </pic:spPr>
                </pic:pic>
              </a:graphicData>
            </a:graphic>
          </wp:inline>
        </w:drawing>
      </w:r>
    </w:p>
    <w:p>
      <w:r>
        <w:br w:type="page"/>
      </w:r>
    </w:p>
    <w:p>
      <w:pPr>
        <w:pStyle w:val="Heading1"/>
      </w:pPr>
      <w:r>
        <w:t>11. Risk Metrics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2E7D32"/>
          </w:tcPr>
          <w:p>
            <w:pPr>
              <w:jc w:val="center"/>
            </w:pPr>
            <w:r>
              <w:rPr>
                <w:b/>
                <w:color w:val="FFFFFF"/>
                <w:sz w:val="18"/>
              </w:rPr>
              <w:t>Metric</w:t>
            </w:r>
          </w:p>
        </w:tc>
        <w:tc>
          <w:tcPr>
            <w:tcW w:type="dxa" w:w="4536"/>
            <w:shd w:val="clear" w:color="auto" w:fill="2E7D32"/>
          </w:tcPr>
          <w:p>
            <w:pPr>
              <w:jc w:val="center"/>
            </w:pPr>
            <w:r>
              <w:rPr>
                <w:b/>
                <w:color w:val="FFFFFF"/>
                <w:sz w:val="18"/>
              </w:rPr>
              <w:t>Value</w:t>
            </w:r>
          </w:p>
        </w:tc>
      </w:tr>
      <w:tr>
        <w:tc>
          <w:tcPr>
            <w:tcW w:type="dxa" w:w="4536"/>
            <w:shd w:val="clear" w:color="auto" w:fill="C8E6C9"/>
          </w:tcPr>
          <w:p>
            <w:pPr>
              <w:jc w:val="center"/>
            </w:pPr>
            <w:r>
              <w:rPr>
                <w:sz w:val="18"/>
              </w:rPr>
              <w:t>Period</w:t>
            </w:r>
          </w:p>
        </w:tc>
        <w:tc>
          <w:tcPr>
            <w:tcW w:type="dxa" w:w="4536"/>
            <w:shd w:val="clear" w:color="auto" w:fill="C8E6C9"/>
          </w:tcPr>
          <w:p>
            <w:pPr>
              <w:jc w:val="center"/>
            </w:pPr>
            <w:r>
              <w:rPr>
                <w:sz w:val="18"/>
              </w:rPr>
              <w:t>2017-2026</w:t>
            </w:r>
          </w:p>
        </w:tc>
      </w:tr>
      <w:tr>
        <w:tc>
          <w:tcPr>
            <w:tcW w:type="dxa" w:w="4536"/>
          </w:tcPr>
          <w:p>
            <w:pPr>
              <w:jc w:val="center"/>
            </w:pPr>
            <w:r>
              <w:rPr>
                <w:sz w:val="18"/>
              </w:rPr>
              <w:t>Number of Years</w:t>
            </w:r>
          </w:p>
        </w:tc>
        <w:tc>
          <w:tcPr>
            <w:tcW w:type="dxa" w:w="4536"/>
          </w:tcPr>
          <w:p>
            <w:pPr>
              <w:jc w:val="center"/>
            </w:pPr>
            <w:r>
              <w:rPr>
                <w:sz w:val="18"/>
              </w:rPr>
              <w:t>10</w:t>
            </w:r>
          </w:p>
        </w:tc>
      </w:tr>
      <w:tr>
        <w:tc>
          <w:tcPr>
            <w:tcW w:type="dxa" w:w="4536"/>
            <w:shd w:val="clear" w:color="auto" w:fill="C8E6C9"/>
          </w:tcPr>
          <w:p>
            <w:pPr>
              <w:jc w:val="center"/>
            </w:pPr>
            <w:r>
              <w:rPr>
                <w:sz w:val="18"/>
              </w:rPr>
              <w:t>Average Annual Return (%)</w:t>
            </w:r>
          </w:p>
        </w:tc>
        <w:tc>
          <w:tcPr>
            <w:tcW w:type="dxa" w:w="4536"/>
            <w:shd w:val="clear" w:color="auto" w:fill="C8E6C9"/>
          </w:tcPr>
          <w:p>
            <w:pPr>
              <w:jc w:val="center"/>
            </w:pPr>
            <w:r>
              <w:rPr>
                <w:sz w:val="18"/>
              </w:rPr>
              <w:t>-0.11</w:t>
            </w:r>
          </w:p>
        </w:tc>
      </w:tr>
      <w:tr>
        <w:tc>
          <w:tcPr>
            <w:tcW w:type="dxa" w:w="4536"/>
          </w:tcPr>
          <w:p>
            <w:pPr>
              <w:jc w:val="center"/>
            </w:pPr>
            <w:r>
              <w:rPr>
                <w:sz w:val="18"/>
              </w:rPr>
              <w:t>Std Dev of Returns (%)</w:t>
            </w:r>
          </w:p>
        </w:tc>
        <w:tc>
          <w:tcPr>
            <w:tcW w:type="dxa" w:w="4536"/>
          </w:tcPr>
          <w:p>
            <w:pPr>
              <w:jc w:val="center"/>
            </w:pPr>
            <w:r>
              <w:rPr>
                <w:sz w:val="18"/>
              </w:rPr>
              <w:t>4.15</w:t>
            </w:r>
          </w:p>
        </w:tc>
      </w:tr>
      <w:tr>
        <w:tc>
          <w:tcPr>
            <w:tcW w:type="dxa" w:w="4536"/>
            <w:shd w:val="clear" w:color="auto" w:fill="C8E6C9"/>
          </w:tcPr>
          <w:p>
            <w:pPr>
              <w:jc w:val="center"/>
            </w:pPr>
            <w:r>
              <w:rPr>
                <w:sz w:val="18"/>
              </w:rPr>
              <w:t>Sharpe Ratio (no risk-free adj)</w:t>
            </w:r>
          </w:p>
        </w:tc>
        <w:tc>
          <w:tcPr>
            <w:tcW w:type="dxa" w:w="4536"/>
            <w:shd w:val="clear" w:color="auto" w:fill="C8E6C9"/>
          </w:tcPr>
          <w:p>
            <w:pPr>
              <w:jc w:val="center"/>
            </w:pPr>
            <w:r>
              <w:rPr>
                <w:sz w:val="18"/>
              </w:rPr>
              <w:t>-0.03</w:t>
            </w:r>
          </w:p>
        </w:tc>
      </w:tr>
      <w:tr>
        <w:tc>
          <w:tcPr>
            <w:tcW w:type="dxa" w:w="4536"/>
          </w:tcPr>
          <w:p>
            <w:pPr>
              <w:jc w:val="center"/>
            </w:pPr>
            <w:r>
              <w:rPr>
                <w:sz w:val="18"/>
              </w:rPr>
              <w:t>Total Cumulative Return (%)</w:t>
            </w:r>
          </w:p>
        </w:tc>
        <w:tc>
          <w:tcPr>
            <w:tcW w:type="dxa" w:w="4536"/>
          </w:tcPr>
          <w:p>
            <w:pPr>
              <w:jc w:val="center"/>
            </w:pPr>
            <w:r>
              <w:rPr>
                <w:sz w:val="18"/>
              </w:rPr>
              <w:t>-1.83</w:t>
            </w:r>
          </w:p>
        </w:tc>
      </w:tr>
      <w:tr>
        <w:tc>
          <w:tcPr>
            <w:tcW w:type="dxa" w:w="4536"/>
            <w:shd w:val="clear" w:color="auto" w:fill="C8E6C9"/>
          </w:tcPr>
          <w:p>
            <w:pPr>
              <w:jc w:val="center"/>
            </w:pPr>
            <w:r>
              <w:rPr>
                <w:sz w:val="18"/>
              </w:rPr>
              <w:t>Max Drawdown (%)</w:t>
            </w:r>
          </w:p>
        </w:tc>
        <w:tc>
          <w:tcPr>
            <w:tcW w:type="dxa" w:w="4536"/>
            <w:shd w:val="clear" w:color="auto" w:fill="C8E6C9"/>
          </w:tcPr>
          <w:p>
            <w:pPr>
              <w:jc w:val="center"/>
            </w:pPr>
            <w:r>
              <w:rPr>
                <w:sz w:val="18"/>
              </w:rPr>
              <w:t>-12.78</w:t>
            </w:r>
          </w:p>
        </w:tc>
      </w:tr>
      <w:tr>
        <w:tc>
          <w:tcPr>
            <w:tcW w:type="dxa" w:w="4536"/>
          </w:tcPr>
          <w:p>
            <w:pPr>
              <w:jc w:val="center"/>
            </w:pPr>
            <w:r>
              <w:rPr>
                <w:sz w:val="18"/>
              </w:rPr>
              <w:t>Win Rate (%)</w:t>
            </w:r>
          </w:p>
        </w:tc>
        <w:tc>
          <w:tcPr>
            <w:tcW w:type="dxa" w:w="4536"/>
          </w:tcPr>
          <w:p>
            <w:pPr>
              <w:jc w:val="center"/>
            </w:pPr>
            <w:r>
              <w:rPr>
                <w:sz w:val="18"/>
              </w:rPr>
              <w:t>30</w:t>
            </w:r>
          </w:p>
        </w:tc>
      </w:tr>
      <w:tr>
        <w:tc>
          <w:tcPr>
            <w:tcW w:type="dxa" w:w="4536"/>
            <w:shd w:val="clear" w:color="auto" w:fill="C8E6C9"/>
          </w:tcPr>
          <w:p>
            <w:pPr>
              <w:jc w:val="center"/>
            </w:pPr>
            <w:r>
              <w:rPr>
                <w:sz w:val="18"/>
              </w:rPr>
              <w:t>Best Year Return (%)</w:t>
            </w:r>
          </w:p>
        </w:tc>
        <w:tc>
          <w:tcPr>
            <w:tcW w:type="dxa" w:w="4536"/>
            <w:shd w:val="clear" w:color="auto" w:fill="C8E6C9"/>
          </w:tcPr>
          <w:p>
            <w:pPr>
              <w:jc w:val="center"/>
            </w:pPr>
            <w:r>
              <w:rPr>
                <w:sz w:val="18"/>
              </w:rPr>
              <w:t>9.11 (2017)</w:t>
            </w:r>
          </w:p>
        </w:tc>
      </w:tr>
      <w:tr>
        <w:tc>
          <w:tcPr>
            <w:tcW w:type="dxa" w:w="4536"/>
          </w:tcPr>
          <w:p>
            <w:pPr>
              <w:jc w:val="center"/>
            </w:pPr>
            <w:r>
              <w:rPr>
                <w:sz w:val="18"/>
              </w:rPr>
              <w:t>Worst Year Return (%)</w:t>
            </w:r>
          </w:p>
        </w:tc>
        <w:tc>
          <w:tcPr>
            <w:tcW w:type="dxa" w:w="4536"/>
          </w:tcPr>
          <w:p>
            <w:pPr>
              <w:jc w:val="center"/>
            </w:pPr>
            <w:r>
              <w:rPr>
                <w:sz w:val="18"/>
              </w:rPr>
              <w:t>-5.49 (2026)</w:t>
            </w:r>
          </w:p>
        </w:tc>
      </w:tr>
      <w:tr>
        <w:tc>
          <w:tcPr>
            <w:tcW w:type="dxa" w:w="4536"/>
            <w:shd w:val="clear" w:color="auto" w:fill="C8E6C9"/>
          </w:tcPr>
          <w:p>
            <w:pPr>
              <w:jc w:val="center"/>
            </w:pPr>
            <w:r>
              <w:rPr>
                <w:sz w:val="18"/>
              </w:rPr>
              <w:t>Avg Carry Differential (%)</w:t>
            </w:r>
          </w:p>
        </w:tc>
        <w:tc>
          <w:tcPr>
            <w:tcW w:type="dxa" w:w="4536"/>
            <w:shd w:val="clear" w:color="auto" w:fill="C8E6C9"/>
          </w:tcPr>
          <w:p>
            <w:pPr>
              <w:jc w:val="center"/>
            </w:pPr>
            <w:r>
              <w:rPr>
                <w:sz w:val="18"/>
              </w:rPr>
              <w:t>3.23</w:t>
            </w:r>
          </w:p>
        </w:tc>
      </w:tr>
      <w:tr>
        <w:tc>
          <w:tcPr>
            <w:tcW w:type="dxa" w:w="4536"/>
          </w:tcPr>
          <w:p>
            <w:pPr>
              <w:jc w:val="center"/>
            </w:pPr>
            <w:r>
              <w:rPr>
                <w:sz w:val="18"/>
              </w:rPr>
              <w:t>Avg INR Depreciation (%)</w:t>
            </w:r>
          </w:p>
        </w:tc>
        <w:tc>
          <w:tcPr>
            <w:tcW w:type="dxa" w:w="4536"/>
          </w:tcPr>
          <w:p>
            <w:pPr>
              <w:jc w:val="center"/>
            </w:pPr>
            <w:r>
              <w:rPr>
                <w:sz w:val="18"/>
              </w:rPr>
              <w:t>3.36</w:t>
            </w:r>
          </w:p>
        </w:tc>
      </w:tr>
      <w:tr>
        <w:tc>
          <w:tcPr>
            <w:tcW w:type="dxa" w:w="4536"/>
            <w:shd w:val="clear" w:color="auto" w:fill="C8E6C9"/>
          </w:tcPr>
          <w:p>
            <w:pPr>
              <w:jc w:val="center"/>
            </w:pPr>
            <w:r>
              <w:rPr>
                <w:sz w:val="18"/>
              </w:rPr>
              <w:t>Carry vs Depreciation</w:t>
            </w:r>
          </w:p>
        </w:tc>
        <w:tc>
          <w:tcPr>
            <w:tcW w:type="dxa" w:w="4536"/>
            <w:shd w:val="clear" w:color="auto" w:fill="C8E6C9"/>
          </w:tcPr>
          <w:p>
            <w:pPr>
              <w:jc w:val="center"/>
            </w:pPr>
            <w:r>
              <w:rPr>
                <w:sz w:val="18"/>
              </w:rPr>
              <w:t>Depreciation WINS</w:t>
            </w:r>
          </w:p>
        </w:tc>
      </w:tr>
    </w:tbl>
    <w:p/>
    <w:p>
      <w:r>
        <w:t>The negative Sharpe ratio confirms that the carry trade has not been compensating investors for the currency risk they are taking. The max drawdown figure reflects the worst peak-to-trough loss an investor would have experienced.</w:t>
      </w:r>
    </w:p>
    <w:p>
      <w:r>
        <w:br w:type="page"/>
      </w:r>
    </w:p>
    <w:p>
      <w:pPr>
        <w:pStyle w:val="Heading1"/>
      </w:pPr>
      <w:r>
        <w:t>12. Key Observations &amp; Phase Analysis</w:t>
      </w:r>
    </w:p>
    <w:p>
      <w:pPr>
        <w:pStyle w:val="Heading2"/>
      </w:pPr>
      <w:r>
        <w:t>Phase 1: Wide Carry Era (2016-2017)</w:t>
      </w:r>
    </w:p>
    <w:p>
      <w:r>
        <w:t>The interest rate differential was 4.75-5.75%, and the INR actually appreciated 3.1% in 2017. This was the golden period for the carry trade, delivering 8.8% net returns in 2017. US rates were still near zero, making the Indian carry very attractive to global investors.</w:t>
      </w:r>
    </w:p>
    <w:p>
      <w:pPr>
        <w:pStyle w:val="Heading2"/>
      </w:pPr>
      <w:r>
        <w:t>Phase 2: EM Stress (2018-2020)</w:t>
      </w:r>
    </w:p>
    <w:p>
      <w:r>
        <w:t>Rising oil prices, the 2018 EM crisis, and the 2020 COVID shock caused significant INR depreciation. Despite a reasonable carry of 3.6-4.8%, the currency losses dominated. The Fed also raised rates in 2018-2019, compressing the differential.</w:t>
      </w:r>
    </w:p>
    <w:p>
      <w:pPr>
        <w:pStyle w:val="Heading2"/>
      </w:pPr>
      <w:r>
        <w:t>Phase 3: COVID Recovery (2021)</w:t>
      </w:r>
    </w:p>
    <w:p>
      <w:r>
        <w:t>Massive US monetary easing (Fed at 0.10%) restored the carry differential to 3.90%, while the INR was stable (slight appreciation). This was the last profitable year, delivering 4.2% net returns.</w:t>
      </w:r>
    </w:p>
    <w:p>
      <w:pPr>
        <w:pStyle w:val="Heading2"/>
      </w:pPr>
      <w:r>
        <w:t>Phase 4: Fed Tightening (2022-2024)</w:t>
      </w:r>
    </w:p>
    <w:p>
      <w:r>
        <w:t>The Fed's aggressive rate hikes to 5.33% crushed the carry differential to just 1.17-1.92%. Simultaneously, INR depreciated 5-6% in 2022-2023 due to dollar strength and EM capital outflows. The trade was consistently loss-making.</w:t>
      </w:r>
    </w:p>
    <w:p>
      <w:pPr>
        <w:pStyle w:val="Heading2"/>
      </w:pPr>
      <w:r>
        <w:t>Phase 5: Divergence &amp; Tariff Shock (2025-2026)</w:t>
      </w:r>
    </w:p>
    <w:p>
      <w:r>
        <w:t>While RBI began easing (to 5.25%) and the Fed cut rates (to 3.75%), the differential remained thin at 1.25-1.50%. The tariff shock of early 2026 sent the INR plunging to 99.82, causing the worst carry trade year in the sample (-5.6% YTD). This single episode erased over 6 years of carry income.</w:t>
      </w:r>
    </w:p>
    <w:p>
      <w:r>
        <w:br w:type="page"/>
      </w:r>
    </w:p>
    <w:p>
      <w:pPr>
        <w:pStyle w:val="Heading1"/>
      </w:pPr>
      <w:r>
        <w:t>13. Current Environment Assessment (April 2026)</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C62828"/>
          </w:tcPr>
          <w:p>
            <w:pPr>
              <w:jc w:val="center"/>
            </w:pPr>
            <w:r>
              <w:rPr>
                <w:b/>
                <w:color w:val="FFFFFF"/>
                <w:sz w:val="18"/>
              </w:rPr>
              <w:t>Factor</w:t>
            </w:r>
          </w:p>
        </w:tc>
        <w:tc>
          <w:tcPr>
            <w:tcW w:type="dxa" w:w="3024"/>
            <w:shd w:val="clear" w:color="auto" w:fill="C62828"/>
          </w:tcPr>
          <w:p>
            <w:pPr>
              <w:jc w:val="center"/>
            </w:pPr>
            <w:r>
              <w:rPr>
                <w:b/>
                <w:color w:val="FFFFFF"/>
                <w:sz w:val="18"/>
              </w:rPr>
              <w:t>Current Status</w:t>
            </w:r>
          </w:p>
        </w:tc>
        <w:tc>
          <w:tcPr>
            <w:tcW w:type="dxa" w:w="3024"/>
            <w:shd w:val="clear" w:color="auto" w:fill="C62828"/>
          </w:tcPr>
          <w:p>
            <w:pPr>
              <w:jc w:val="center"/>
            </w:pPr>
            <w:r>
              <w:rPr>
                <w:b/>
                <w:color w:val="FFFFFF"/>
                <w:sz w:val="18"/>
              </w:rPr>
              <w:t>Implication</w:t>
            </w:r>
          </w:p>
        </w:tc>
      </w:tr>
      <w:tr>
        <w:tc>
          <w:tcPr>
            <w:tcW w:type="dxa" w:w="3024"/>
            <w:shd w:val="clear" w:color="auto" w:fill="FFCDD2"/>
          </w:tcPr>
          <w:p>
            <w:pPr>
              <w:jc w:val="center"/>
            </w:pPr>
            <w:r>
              <w:rPr>
                <w:sz w:val="18"/>
              </w:rPr>
              <w:t>Interest Rate Differential</w:t>
            </w:r>
          </w:p>
        </w:tc>
        <w:tc>
          <w:tcPr>
            <w:tcW w:type="dxa" w:w="3024"/>
            <w:shd w:val="clear" w:color="auto" w:fill="FFCDD2"/>
          </w:tcPr>
          <w:p>
            <w:pPr>
              <w:jc w:val="center"/>
            </w:pPr>
            <w:r>
              <w:rPr>
                <w:sz w:val="18"/>
              </w:rPr>
              <w:t>1.50% (RBI 5.25% vs Fed 3.75%)</w:t>
            </w:r>
          </w:p>
        </w:tc>
        <w:tc>
          <w:tcPr>
            <w:tcW w:type="dxa" w:w="3024"/>
            <w:shd w:val="clear" w:color="auto" w:fill="FFCDD2"/>
          </w:tcPr>
          <w:p>
            <w:pPr>
              <w:jc w:val="center"/>
            </w:pPr>
            <w:r>
              <w:rPr>
                <w:sz w:val="18"/>
              </w:rPr>
              <w:t>Historically low - weak carry</w:t>
            </w:r>
          </w:p>
        </w:tc>
      </w:tr>
      <w:tr>
        <w:tc>
          <w:tcPr>
            <w:tcW w:type="dxa" w:w="3024"/>
          </w:tcPr>
          <w:p>
            <w:pPr>
              <w:jc w:val="center"/>
            </w:pPr>
            <w:r>
              <w:rPr>
                <w:sz w:val="18"/>
              </w:rPr>
              <w:t>INR Trend</w:t>
            </w:r>
          </w:p>
        </w:tc>
        <w:tc>
          <w:tcPr>
            <w:tcW w:type="dxa" w:w="3024"/>
          </w:tcPr>
          <w:p>
            <w:pPr>
              <w:jc w:val="center"/>
            </w:pPr>
            <w:r>
              <w:rPr>
                <w:sz w:val="18"/>
              </w:rPr>
              <w:t>Sharp depreciation (hit 99.82 in Mar)</w:t>
            </w:r>
          </w:p>
        </w:tc>
        <w:tc>
          <w:tcPr>
            <w:tcW w:type="dxa" w:w="3024"/>
          </w:tcPr>
          <w:p>
            <w:pPr>
              <w:jc w:val="center"/>
            </w:pPr>
            <w:r>
              <w:rPr>
                <w:sz w:val="18"/>
              </w:rPr>
              <w:t>High currency risk</w:t>
            </w:r>
          </w:p>
        </w:tc>
      </w:tr>
      <w:tr>
        <w:tc>
          <w:tcPr>
            <w:tcW w:type="dxa" w:w="3024"/>
            <w:shd w:val="clear" w:color="auto" w:fill="FFCDD2"/>
          </w:tcPr>
          <w:p>
            <w:pPr>
              <w:jc w:val="center"/>
            </w:pPr>
            <w:r>
              <w:rPr>
                <w:sz w:val="18"/>
              </w:rPr>
              <w:t>India Inflation</w:t>
            </w:r>
          </w:p>
        </w:tc>
        <w:tc>
          <w:tcPr>
            <w:tcW w:type="dxa" w:w="3024"/>
            <w:shd w:val="clear" w:color="auto" w:fill="FFCDD2"/>
          </w:tcPr>
          <w:p>
            <w:pPr>
              <w:jc w:val="center"/>
            </w:pPr>
            <w:r>
              <w:rPr>
                <w:sz w:val="18"/>
              </w:rPr>
              <w:t>~3.2% - well controlled</w:t>
            </w:r>
          </w:p>
        </w:tc>
        <w:tc>
          <w:tcPr>
            <w:tcW w:type="dxa" w:w="3024"/>
            <w:shd w:val="clear" w:color="auto" w:fill="FFCDD2"/>
          </w:tcPr>
          <w:p>
            <w:pPr>
              <w:jc w:val="center"/>
            </w:pPr>
            <w:r>
              <w:rPr>
                <w:sz w:val="18"/>
              </w:rPr>
              <w:t>Positive for INR stability</w:t>
            </w:r>
          </w:p>
        </w:tc>
      </w:tr>
      <w:tr>
        <w:tc>
          <w:tcPr>
            <w:tcW w:type="dxa" w:w="3024"/>
          </w:tcPr>
          <w:p>
            <w:pPr>
              <w:jc w:val="center"/>
            </w:pPr>
            <w:r>
              <w:rPr>
                <w:sz w:val="18"/>
              </w:rPr>
              <w:t>US Inflation</w:t>
            </w:r>
          </w:p>
        </w:tc>
        <w:tc>
          <w:tcPr>
            <w:tcW w:type="dxa" w:w="3024"/>
          </w:tcPr>
          <w:p>
            <w:pPr>
              <w:jc w:val="center"/>
            </w:pPr>
            <w:r>
              <w:rPr>
                <w:sz w:val="18"/>
              </w:rPr>
              <w:t>3.3% - rising (tariff pass-through)</w:t>
            </w:r>
          </w:p>
        </w:tc>
        <w:tc>
          <w:tcPr>
            <w:tcW w:type="dxa" w:w="3024"/>
          </w:tcPr>
          <w:p>
            <w:pPr>
              <w:jc w:val="center"/>
            </w:pPr>
            <w:r>
              <w:rPr>
                <w:sz w:val="18"/>
              </w:rPr>
              <w:t>Negative - may keep Fed on hold</w:t>
            </w:r>
          </w:p>
        </w:tc>
      </w:tr>
      <w:tr>
        <w:tc>
          <w:tcPr>
            <w:tcW w:type="dxa" w:w="3024"/>
            <w:shd w:val="clear" w:color="auto" w:fill="FFCDD2"/>
          </w:tcPr>
          <w:p>
            <w:pPr>
              <w:jc w:val="center"/>
            </w:pPr>
            <w:r>
              <w:rPr>
                <w:sz w:val="18"/>
              </w:rPr>
              <w:t>Global Sentiment</w:t>
            </w:r>
          </w:p>
        </w:tc>
        <w:tc>
          <w:tcPr>
            <w:tcW w:type="dxa" w:w="3024"/>
            <w:shd w:val="clear" w:color="auto" w:fill="FFCDD2"/>
          </w:tcPr>
          <w:p>
            <w:pPr>
              <w:jc w:val="center"/>
            </w:pPr>
            <w:r>
              <w:rPr>
                <w:sz w:val="18"/>
              </w:rPr>
              <w:t>Risk-off (tariff uncertainty)</w:t>
            </w:r>
          </w:p>
        </w:tc>
        <w:tc>
          <w:tcPr>
            <w:tcW w:type="dxa" w:w="3024"/>
            <w:shd w:val="clear" w:color="auto" w:fill="FFCDD2"/>
          </w:tcPr>
          <w:p>
            <w:pPr>
              <w:jc w:val="center"/>
            </w:pPr>
            <w:r>
              <w:rPr>
                <w:sz w:val="18"/>
              </w:rPr>
              <w:t>Negative for EM carry trades</w:t>
            </w:r>
          </w:p>
        </w:tc>
      </w:tr>
      <w:tr>
        <w:tc>
          <w:tcPr>
            <w:tcW w:type="dxa" w:w="3024"/>
          </w:tcPr>
          <w:p>
            <w:pPr>
              <w:jc w:val="center"/>
            </w:pPr>
            <w:r>
              <w:rPr>
                <w:sz w:val="18"/>
              </w:rPr>
              <w:t>RBI Policy Direction</w:t>
            </w:r>
          </w:p>
        </w:tc>
        <w:tc>
          <w:tcPr>
            <w:tcW w:type="dxa" w:w="3024"/>
          </w:tcPr>
          <w:p>
            <w:pPr>
              <w:jc w:val="center"/>
            </w:pPr>
            <w:r>
              <w:rPr>
                <w:sz w:val="18"/>
              </w:rPr>
              <w:t>Neutral, may ease further</w:t>
            </w:r>
          </w:p>
        </w:tc>
        <w:tc>
          <w:tcPr>
            <w:tcW w:type="dxa" w:w="3024"/>
          </w:tcPr>
          <w:p>
            <w:pPr>
              <w:jc w:val="center"/>
            </w:pPr>
            <w:r>
              <w:rPr>
                <w:sz w:val="18"/>
              </w:rPr>
              <w:t>Could compress differential further</w:t>
            </w:r>
          </w:p>
        </w:tc>
      </w:tr>
      <w:tr>
        <w:tc>
          <w:tcPr>
            <w:tcW w:type="dxa" w:w="3024"/>
            <w:shd w:val="clear" w:color="auto" w:fill="FFCDD2"/>
          </w:tcPr>
          <w:p>
            <w:pPr>
              <w:jc w:val="center"/>
            </w:pPr>
            <w:r>
              <w:rPr>
                <w:sz w:val="18"/>
              </w:rPr>
              <w:t>Fed Policy Direction</w:t>
            </w:r>
          </w:p>
        </w:tc>
        <w:tc>
          <w:tcPr>
            <w:tcW w:type="dxa" w:w="3024"/>
            <w:shd w:val="clear" w:color="auto" w:fill="FFCDD2"/>
          </w:tcPr>
          <w:p>
            <w:pPr>
              <w:jc w:val="center"/>
            </w:pPr>
            <w:r>
              <w:rPr>
                <w:sz w:val="18"/>
              </w:rPr>
              <w:t>May pause cuts due to tariff inflation</w:t>
            </w:r>
          </w:p>
        </w:tc>
        <w:tc>
          <w:tcPr>
            <w:tcW w:type="dxa" w:w="3024"/>
            <w:shd w:val="clear" w:color="auto" w:fill="FFCDD2"/>
          </w:tcPr>
          <w:p>
            <w:pPr>
              <w:jc w:val="center"/>
            </w:pPr>
            <w:r>
              <w:rPr>
                <w:sz w:val="18"/>
              </w:rPr>
              <w:t>Rate divergence may narrow</w:t>
            </w:r>
          </w:p>
        </w:tc>
      </w:tr>
      <w:tr>
        <w:tc>
          <w:tcPr>
            <w:tcW w:type="dxa" w:w="3024"/>
          </w:tcPr>
          <w:p>
            <w:pPr>
              <w:jc w:val="center"/>
            </w:pPr>
            <w:r>
              <w:rPr>
                <w:sz w:val="18"/>
              </w:rPr>
              <w:t>Oil Prices</w:t>
            </w:r>
          </w:p>
        </w:tc>
        <w:tc>
          <w:tcPr>
            <w:tcW w:type="dxa" w:w="3024"/>
          </w:tcPr>
          <w:p>
            <w:pPr>
              <w:jc w:val="center"/>
            </w:pPr>
            <w:r>
              <w:rPr>
                <w:sz w:val="18"/>
              </w:rPr>
              <w:t>Elevated</w:t>
            </w:r>
          </w:p>
        </w:tc>
        <w:tc>
          <w:tcPr>
            <w:tcW w:type="dxa" w:w="3024"/>
          </w:tcPr>
          <w:p>
            <w:pPr>
              <w:jc w:val="center"/>
            </w:pPr>
            <w:r>
              <w:rPr>
                <w:sz w:val="18"/>
              </w:rPr>
              <w:t>Negative for INR via trade deficit</w:t>
            </w:r>
          </w:p>
        </w:tc>
      </w:tr>
    </w:tbl>
    <w:p/>
    <w:p>
      <w:r>
        <w:rPr>
          <w:b/>
          <w:color w:val="C62828"/>
          <w:sz w:val="24"/>
        </w:rPr>
        <w:t>OVERALL ASSESSMENT: UNFAVORABLE for USD/INR carry trade.</w:t>
      </w:r>
    </w:p>
    <w:p>
      <w:r>
        <w:t>The combination of a razor-thin interest rate differential (1.50%), elevated INR volatility, and global uncertainty makes the risk-reward profile unattractive. A US investor would need to see: (a) the differential widen back above 3%, (b) INR volatility subside to pre-2025 levels, and (c) resolution of global tariff uncertainty before re-entering this trade.</w:t>
      </w:r>
    </w:p>
    <w:p>
      <w:r>
        <w:br w:type="page"/>
      </w:r>
    </w:p>
    <w:p>
      <w:pPr>
        <w:pStyle w:val="Heading1"/>
      </w:pPr>
      <w:r>
        <w:t>14. Conclusions</w:t>
      </w:r>
    </w:p>
    <w:p>
      <w:pPr>
        <w:pStyle w:val="Heading3"/>
      </w:pPr>
      <w:r>
        <w:t>Net Loser Over 10 Years</w:t>
      </w:r>
    </w:p>
    <w:p>
      <w:r>
        <w:t>The USD/INR carry trade destroyed value for a US investor over the full decade. Cumulative INR depreciation (~39%) exceeded cumulative carry income (~32%), resulting in a net loss.</w:t>
      </w:r>
    </w:p>
    <w:p>
      <w:pPr>
        <w:pStyle w:val="Heading3"/>
      </w:pPr>
      <w:r>
        <w:t>Asymmetric Risk Profile</w:t>
      </w:r>
    </w:p>
    <w:p>
      <w:r>
        <w:t>The trade exhibits classic 'peso problem' behaviour — small, steady carry gains in calm periods, wiped out by sudden, sharp INR depreciation during stress events (2018 EM crisis, 2020 COVID, 2022 Fed hikes, 2026 tariff shock). This asymmetry makes the trade structurally risky for unhedged positions.</w:t>
      </w:r>
    </w:p>
    <w:p>
      <w:pPr>
        <w:pStyle w:val="Heading3"/>
      </w:pPr>
      <w:r>
        <w:t>Carry Compression Is Structural</w:t>
      </w:r>
    </w:p>
    <w:p>
      <w:r>
        <w:t>The narrowing of the India-US rate differential from 5.75% to 1.50% is not temporary — it reflects the convergence of India's monetary policy credibility (lower inflation requiring lower rates) with a higher-for-longer US rate regime. The pre-2022 wide carry may not return.</w:t>
      </w:r>
    </w:p>
    <w:p>
      <w:pPr>
        <w:pStyle w:val="Heading3"/>
      </w:pPr>
      <w:r>
        <w:t>Depreciation Overshoots PPP</w:t>
      </w:r>
    </w:p>
    <w:p>
      <w:r>
        <w:t>INR depreciation consistently exceeded what inflation differentials predicted, driven by structural factors (trade deficit, oil dependency, capital flow volatility). This means PPP-based carry trade models underestimate the true currency risk.</w:t>
      </w:r>
    </w:p>
    <w:p>
      <w:pPr>
        <w:pStyle w:val="Heading3"/>
      </w:pPr>
      <w:r>
        <w:t>Hedging Eliminates the Trade</w:t>
      </w:r>
    </w:p>
    <w:p>
      <w:r>
        <w:t>The USD/INR forward premium largely reflects the interest rate differential (covered interest parity). Hedging the currency risk via forwards eliminates most or all of the carry advantage, making hedged carry trades uneconomical.</w:t>
      </w:r>
    </w:p>
    <w:p>
      <w:pPr>
        <w:pStyle w:val="Heading3"/>
      </w:pPr>
      <w:r>
        <w:t>Current Environment: Avoid</w:t>
      </w:r>
    </w:p>
    <w:p>
      <w:r>
        <w:t>With a 1.50% differential, 8-12% annualised INR volatility, and unresolved global tariff risks, the carry trade is not recommended. A US investor earns a better risk-adjusted return in US Treasuries or money market funds.</w:t>
      </w:r>
    </w:p>
    <w:p>
      <w:r>
        <w:br w:type="page"/>
      </w:r>
    </w:p>
    <w:p>
      <w:pPr>
        <w:pStyle w:val="Heading1"/>
      </w:pPr>
      <w:r>
        <w:t>15. Data Sources</w:t>
      </w:r>
    </w:p>
    <w:p>
      <w:pPr>
        <w:pStyle w:val="ListBullet"/>
      </w:pPr>
      <w:r>
        <w:t>IRS — Yearly Average Currency Exchange Rates (irs.gov)</w:t>
      </w:r>
    </w:p>
    <w:p>
      <w:pPr>
        <w:pStyle w:val="ListBullet"/>
      </w:pPr>
      <w:r>
        <w:t>Trading Economics — India/US Currency, Interest Rates, Inflation (tradingeconomics.com)</w:t>
      </w:r>
    </w:p>
    <w:p>
      <w:pPr>
        <w:pStyle w:val="ListBullet"/>
      </w:pPr>
      <w:r>
        <w:t>Reserve Bank of India — Policy Rates (rbi.org.in)</w:t>
      </w:r>
    </w:p>
    <w:p>
      <w:pPr>
        <w:pStyle w:val="ListBullet"/>
      </w:pPr>
      <w:r>
        <w:t>Federal Reserve — FRED Database, H.15 Selected Interest Rates (fred.stlouisfed.org)</w:t>
      </w:r>
    </w:p>
    <w:p>
      <w:pPr>
        <w:pStyle w:val="ListBullet"/>
      </w:pPr>
      <w:r>
        <w:t>WorldData.info — Historical Inflation Rates (worlddata.info)</w:t>
      </w:r>
    </w:p>
    <w:p>
      <w:pPr>
        <w:pStyle w:val="ListBullet"/>
      </w:pPr>
      <w:r>
        <w:t>World Bank — Consumer Price Index Data (data.worldbank.org)</w:t>
      </w:r>
    </w:p>
    <w:p>
      <w:pPr>
        <w:pStyle w:val="ListBullet"/>
      </w:pPr>
      <w:r>
        <w:t>Stable Investor — RBI Repo Rate History (stableinvestor.com)</w:t>
      </w:r>
    </w:p>
    <w:p>
      <w:pPr>
        <w:pStyle w:val="ListBullet"/>
      </w:pPr>
      <w:r>
        <w:t>Investing.com — India 10Y vs US 10Y Bond Yield Spread (investing.com)</w:t>
      </w:r>
    </w:p>
    <w:p/>
    <w:p>
      <w:r>
        <w:rPr>
          <w:i/>
          <w:color w:val="808080"/>
          <w:sz w:val="16"/>
        </w:rPr>
        <w:t>Disclaimer: This report is for informational and educational purposes only. It does not constitute investment advice. Past performance does not guarantee future results. Data sourced from publicly available databases as of April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