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56"/>
        </w:rPr>
        <w:t>USD/JPY Carry Trade Analysis</w:t>
      </w:r>
    </w:p>
    <w:p>
      <w:pPr>
        <w:jc w:val="center"/>
      </w:pPr>
      <w:r>
        <w:rPr>
          <w:color w:val="4A4A4A"/>
          <w:sz w:val="32"/>
        </w:rPr>
        <w:t>The Yen Carry Trade | US Investor's Perspective | 2016 - 2026</w:t>
      </w:r>
    </w:p>
    <w:p/>
    <w:p>
      <w:pPr>
        <w:jc w:val="center"/>
      </w:pPr>
      <w:r>
        <w:rPr>
          <w:color w:val="808080"/>
          <w:sz w:val="28"/>
        </w:rPr>
        <w:t>April 2026</w:t>
      </w:r>
    </w:p>
    <w:p>
      <w:r>
        <w:br w:type="page"/>
      </w:r>
    </w:p>
    <w:p>
      <w:pPr>
        <w:pStyle w:val="Heading1"/>
      </w:pPr>
      <w:r>
        <w:t>1. Executive Summary</w:t>
      </w:r>
    </w:p>
    <w:p>
      <w:r>
        <w:t>This report analyses the classic Japanese Yen carry trade from a US investor's perspective over the past decade (2016-2026). The trade involves borrowing in Japanese Yen at the Bank of Japan's ultra-low (or negative) policy rate, converting to US dollars, and investing at the US Fed Funds rate.</w:t>
      </w:r>
    </w:p>
    <w:p>
      <w:r>
        <w:t>Unlike the INR carry trade (where the investor goes INTO a high-yield EM currency), the JPY carry trade has the investor coming OUT of a low-yield currency back into USD. This means JPY depreciation (USDJPY rising) is a GAIN, not a cost.</w:t>
      </w:r>
    </w:p>
    <w:p>
      <w:pPr>
        <w:pStyle w:val="Heading3"/>
      </w:pPr>
      <w:r>
        <w:t>Key Findings:</w:t>
      </w:r>
    </w:p>
    <w:p>
      <w:pPr>
        <w:pStyle w:val="ListBullet"/>
      </w:pPr>
      <w:r>
        <w:t>The JPY carry trade delivered strong positive cumulative returns over the decade.</w:t>
      </w:r>
    </w:p>
    <w:p>
      <w:pPr>
        <w:pStyle w:val="ListBullet"/>
      </w:pPr>
      <w:r>
        <w:t>Japan's near-zero/negative rates provided virtually free funding for the entire period.</w:t>
      </w:r>
    </w:p>
    <w:p>
      <w:pPr>
        <w:pStyle w:val="ListBullet"/>
      </w:pPr>
      <w:r>
        <w:t>The massive JPY depreciation (USDJPY rose from 109 to 158) added a huge FX tailwind on top of carry.</w:t>
      </w:r>
    </w:p>
    <w:p>
      <w:pPr>
        <w:pStyle w:val="ListBullet"/>
      </w:pPr>
      <w:r>
        <w:t>The trade was profitable in 7 out of 10 years — far superior to the INR carry trade.</w:t>
      </w:r>
    </w:p>
    <w:p>
      <w:pPr>
        <w:pStyle w:val="ListBullet"/>
      </w:pPr>
      <w:r>
        <w:t>The biggest risk: sudden JPY strengthening (2019-2020) when risk-off sentiment drives safe-haven flows into JPY.</w:t>
      </w:r>
    </w:p>
    <w:p>
      <w:pPr>
        <w:pStyle w:val="ListBullet"/>
      </w:pPr>
      <w:r>
        <w:t>BOJ's recent rate hikes to 0.75% are beginning to erode the carry advantage.</w:t>
      </w:r>
    </w:p>
    <w:p>
      <w:r>
        <w:br w:type="page"/>
      </w:r>
    </w:p>
    <w:p>
      <w:pPr>
        <w:pStyle w:val="Heading1"/>
      </w:pPr>
      <w:r>
        <w:t>2. Methodology — The Yen Carry Trade</w:t>
      </w:r>
    </w:p>
    <w:p>
      <w:r>
        <w:t>The US investor executes the following steps:</w:t>
      </w:r>
    </w:p>
    <w:p>
      <w:pPr>
        <w:pStyle w:val="ListBullet"/>
      </w:pPr>
      <w:r>
        <w:t>Step 1: Borrow JPY at the BOJ policy rate (near zero or negative from 2016-2023).</w:t>
      </w:r>
    </w:p>
    <w:p>
      <w:pPr>
        <w:pStyle w:val="ListBullet"/>
      </w:pPr>
      <w:r>
        <w:t>Step 2: Convert JPY to USD at the prevailing spot rate.</w:t>
      </w:r>
    </w:p>
    <w:p>
      <w:pPr>
        <w:pStyle w:val="ListBullet"/>
      </w:pPr>
      <w:r>
        <w:t>Step 3: Invest USD at the US Fed Funds rate for one year.</w:t>
      </w:r>
    </w:p>
    <w:p>
      <w:pPr>
        <w:pStyle w:val="ListBullet"/>
      </w:pPr>
      <w:r>
        <w:t>Step 4: At year-end, convert enough USD back to JPY to repay the loan with interest.</w:t>
      </w:r>
    </w:p>
    <w:p>
      <w:pPr>
        <w:pStyle w:val="ListBullet"/>
      </w:pPr>
      <w:r>
        <w:t>Step 5: The remaining USD is profit (or loss if JPY strengthened).</w:t>
      </w:r>
    </w:p>
    <w:p>
      <w:pPr>
        <w:pStyle w:val="Heading3"/>
      </w:pPr>
      <w:r>
        <w:t>P&amp;L Drivers:</w:t>
      </w:r>
    </w:p>
    <w:p>
      <w:r>
        <w:t>The P&amp;L has two components:</w:t>
        <w:br/>
        <w:t>1) Carry component: US rate earned minus JPY borrowing rate (almost always positive)</w:t>
        <w:br/>
        <w:t>2) FX component: JPY depreciation = GAIN; JPY appreciation = LOSS</w:t>
        <w:br/>
        <w:br/>
        <w:t>This is the mirror image of the INR carry trade, where FX movement (INR depreciation) was always a cost. Here, FX movement (JPY depreciation) has been a massive tailwind.</w:t>
      </w:r>
    </w:p>
    <w:p>
      <w:r>
        <w:br w:type="page"/>
      </w:r>
    </w:p>
    <w:p>
      <w:pPr>
        <w:pStyle w:val="Heading1"/>
      </w:pPr>
      <w:r>
        <w:t>3. Market Data Overview</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shd w:val="clear" w:color="auto" w:fill="1A237E"/>
          </w:tcPr>
          <w:p>
            <w:pPr>
              <w:jc w:val="center"/>
            </w:pPr>
            <w:r>
              <w:rPr>
                <w:b/>
                <w:color w:val="FFFFFF"/>
                <w:sz w:val="18"/>
              </w:rPr>
              <w:t>Year</w:t>
            </w:r>
          </w:p>
        </w:tc>
        <w:tc>
          <w:tcPr>
            <w:tcW w:type="dxa" w:w="1512"/>
            <w:shd w:val="clear" w:color="auto" w:fill="1A237E"/>
          </w:tcPr>
          <w:p>
            <w:pPr>
              <w:jc w:val="center"/>
            </w:pPr>
            <w:r>
              <w:rPr>
                <w:b/>
                <w:color w:val="FFFFFF"/>
                <w:sz w:val="18"/>
              </w:rPr>
              <w:t>USD/JPY (Avg)</w:t>
            </w:r>
          </w:p>
        </w:tc>
        <w:tc>
          <w:tcPr>
            <w:tcW w:type="dxa" w:w="1512"/>
            <w:shd w:val="clear" w:color="auto" w:fill="1A237E"/>
          </w:tcPr>
          <w:p>
            <w:pPr>
              <w:jc w:val="center"/>
            </w:pPr>
            <w:r>
              <w:rPr>
                <w:b/>
                <w:color w:val="FFFFFF"/>
                <w:sz w:val="18"/>
              </w:rPr>
              <w:t>BOJ Rate (%)</w:t>
            </w:r>
          </w:p>
        </w:tc>
        <w:tc>
          <w:tcPr>
            <w:tcW w:type="dxa" w:w="1512"/>
            <w:shd w:val="clear" w:color="auto" w:fill="1A237E"/>
          </w:tcPr>
          <w:p>
            <w:pPr>
              <w:jc w:val="center"/>
            </w:pPr>
            <w:r>
              <w:rPr>
                <w:b/>
                <w:color w:val="FFFFFF"/>
                <w:sz w:val="18"/>
              </w:rPr>
              <w:t>US Fed (%)</w:t>
            </w:r>
          </w:p>
        </w:tc>
        <w:tc>
          <w:tcPr>
            <w:tcW w:type="dxa" w:w="1512"/>
            <w:shd w:val="clear" w:color="auto" w:fill="1A237E"/>
          </w:tcPr>
          <w:p>
            <w:pPr>
              <w:jc w:val="center"/>
            </w:pPr>
            <w:r>
              <w:rPr>
                <w:b/>
                <w:color w:val="FFFFFF"/>
                <w:sz w:val="18"/>
              </w:rPr>
              <w:t>Japan CPI (%)</w:t>
            </w:r>
          </w:p>
        </w:tc>
        <w:tc>
          <w:tcPr>
            <w:tcW w:type="dxa" w:w="1512"/>
            <w:shd w:val="clear" w:color="auto" w:fill="1A237E"/>
          </w:tcPr>
          <w:p>
            <w:pPr>
              <w:jc w:val="center"/>
            </w:pPr>
            <w:r>
              <w:rPr>
                <w:b/>
                <w:color w:val="FFFFFF"/>
                <w:sz w:val="18"/>
              </w:rPr>
              <w:t>US CPI (%)</w:t>
            </w:r>
          </w:p>
        </w:tc>
      </w:tr>
      <w:tr>
        <w:tc>
          <w:tcPr>
            <w:tcW w:type="dxa" w:w="1512"/>
            <w:shd w:val="clear" w:color="auto" w:fill="C5CAE9"/>
          </w:tcPr>
          <w:p>
            <w:pPr>
              <w:jc w:val="center"/>
            </w:pPr>
            <w:r>
              <w:rPr>
                <w:sz w:val="18"/>
              </w:rPr>
              <w:t>2016.0</w:t>
            </w:r>
          </w:p>
        </w:tc>
        <w:tc>
          <w:tcPr>
            <w:tcW w:type="dxa" w:w="1512"/>
            <w:shd w:val="clear" w:color="auto" w:fill="C5CAE9"/>
          </w:tcPr>
          <w:p>
            <w:pPr>
              <w:jc w:val="center"/>
            </w:pPr>
            <w:r>
              <w:rPr>
                <w:sz w:val="18"/>
              </w:rPr>
              <w:t>108.79</w:t>
            </w:r>
          </w:p>
        </w:tc>
        <w:tc>
          <w:tcPr>
            <w:tcW w:type="dxa" w:w="1512"/>
            <w:shd w:val="clear" w:color="auto" w:fill="C5CAE9"/>
          </w:tcPr>
          <w:p>
            <w:pPr>
              <w:jc w:val="center"/>
            </w:pPr>
            <w:r>
              <w:rPr>
                <w:sz w:val="18"/>
              </w:rPr>
              <w:t>-0.1</w:t>
            </w:r>
          </w:p>
        </w:tc>
        <w:tc>
          <w:tcPr>
            <w:tcW w:type="dxa" w:w="1512"/>
            <w:shd w:val="clear" w:color="auto" w:fill="C5CAE9"/>
          </w:tcPr>
          <w:p>
            <w:pPr>
              <w:jc w:val="center"/>
            </w:pPr>
            <w:r>
              <w:rPr>
                <w:sz w:val="18"/>
              </w:rPr>
              <w:t>0.5</w:t>
            </w:r>
          </w:p>
        </w:tc>
        <w:tc>
          <w:tcPr>
            <w:tcW w:type="dxa" w:w="1512"/>
            <w:shd w:val="clear" w:color="auto" w:fill="C5CAE9"/>
          </w:tcPr>
          <w:p>
            <w:pPr>
              <w:jc w:val="center"/>
            </w:pPr>
            <w:r>
              <w:rPr>
                <w:sz w:val="18"/>
              </w:rPr>
              <w:t>-0.1</w:t>
            </w:r>
          </w:p>
        </w:tc>
        <w:tc>
          <w:tcPr>
            <w:tcW w:type="dxa" w:w="1512"/>
            <w:shd w:val="clear" w:color="auto" w:fill="C5CAE9"/>
          </w:tcPr>
          <w:p>
            <w:pPr>
              <w:jc w:val="center"/>
            </w:pPr>
            <w:r>
              <w:rPr>
                <w:sz w:val="18"/>
              </w:rPr>
              <w:t>1.3</w:t>
            </w:r>
          </w:p>
        </w:tc>
      </w:tr>
      <w:tr>
        <w:tc>
          <w:tcPr>
            <w:tcW w:type="dxa" w:w="1512"/>
          </w:tcPr>
          <w:p>
            <w:pPr>
              <w:jc w:val="center"/>
            </w:pPr>
            <w:r>
              <w:rPr>
                <w:sz w:val="18"/>
              </w:rPr>
              <w:t>2017.0</w:t>
            </w:r>
          </w:p>
        </w:tc>
        <w:tc>
          <w:tcPr>
            <w:tcW w:type="dxa" w:w="1512"/>
          </w:tcPr>
          <w:p>
            <w:pPr>
              <w:jc w:val="center"/>
            </w:pPr>
            <w:r>
              <w:rPr>
                <w:sz w:val="18"/>
              </w:rPr>
              <w:t>112.04</w:t>
            </w:r>
          </w:p>
        </w:tc>
        <w:tc>
          <w:tcPr>
            <w:tcW w:type="dxa" w:w="1512"/>
          </w:tcPr>
          <w:p>
            <w:pPr>
              <w:jc w:val="center"/>
            </w:pPr>
            <w:r>
              <w:rPr>
                <w:sz w:val="18"/>
              </w:rPr>
              <w:t>-0.1</w:t>
            </w:r>
          </w:p>
        </w:tc>
        <w:tc>
          <w:tcPr>
            <w:tcW w:type="dxa" w:w="1512"/>
          </w:tcPr>
          <w:p>
            <w:pPr>
              <w:jc w:val="center"/>
            </w:pPr>
            <w:r>
              <w:rPr>
                <w:sz w:val="18"/>
              </w:rPr>
              <w:t>1.25</w:t>
            </w:r>
          </w:p>
        </w:tc>
        <w:tc>
          <w:tcPr>
            <w:tcW w:type="dxa" w:w="1512"/>
          </w:tcPr>
          <w:p>
            <w:pPr>
              <w:jc w:val="center"/>
            </w:pPr>
            <w:r>
              <w:rPr>
                <w:sz w:val="18"/>
              </w:rPr>
              <w:t>0.5</w:t>
            </w:r>
          </w:p>
        </w:tc>
        <w:tc>
          <w:tcPr>
            <w:tcW w:type="dxa" w:w="1512"/>
          </w:tcPr>
          <w:p>
            <w:pPr>
              <w:jc w:val="center"/>
            </w:pPr>
            <w:r>
              <w:rPr>
                <w:sz w:val="18"/>
              </w:rPr>
              <w:t>2.1</w:t>
            </w:r>
          </w:p>
        </w:tc>
      </w:tr>
      <w:tr>
        <w:tc>
          <w:tcPr>
            <w:tcW w:type="dxa" w:w="1512"/>
            <w:shd w:val="clear" w:color="auto" w:fill="C5CAE9"/>
          </w:tcPr>
          <w:p>
            <w:pPr>
              <w:jc w:val="center"/>
            </w:pPr>
            <w:r>
              <w:rPr>
                <w:sz w:val="18"/>
              </w:rPr>
              <w:t>2018.0</w:t>
            </w:r>
          </w:p>
        </w:tc>
        <w:tc>
          <w:tcPr>
            <w:tcW w:type="dxa" w:w="1512"/>
            <w:shd w:val="clear" w:color="auto" w:fill="C5CAE9"/>
          </w:tcPr>
          <w:p>
            <w:pPr>
              <w:jc w:val="center"/>
            </w:pPr>
            <w:r>
              <w:rPr>
                <w:sz w:val="18"/>
              </w:rPr>
              <w:t>110.48</w:t>
            </w:r>
          </w:p>
        </w:tc>
        <w:tc>
          <w:tcPr>
            <w:tcW w:type="dxa" w:w="1512"/>
            <w:shd w:val="clear" w:color="auto" w:fill="C5CAE9"/>
          </w:tcPr>
          <w:p>
            <w:pPr>
              <w:jc w:val="center"/>
            </w:pPr>
            <w:r>
              <w:rPr>
                <w:sz w:val="18"/>
              </w:rPr>
              <w:t>-0.1</w:t>
            </w:r>
          </w:p>
        </w:tc>
        <w:tc>
          <w:tcPr>
            <w:tcW w:type="dxa" w:w="1512"/>
            <w:shd w:val="clear" w:color="auto" w:fill="C5CAE9"/>
          </w:tcPr>
          <w:p>
            <w:pPr>
              <w:jc w:val="center"/>
            </w:pPr>
            <w:r>
              <w:rPr>
                <w:sz w:val="18"/>
              </w:rPr>
              <w:t>2.4</w:t>
            </w:r>
          </w:p>
        </w:tc>
        <w:tc>
          <w:tcPr>
            <w:tcW w:type="dxa" w:w="1512"/>
            <w:shd w:val="clear" w:color="auto" w:fill="C5CAE9"/>
          </w:tcPr>
          <w:p>
            <w:pPr>
              <w:jc w:val="center"/>
            </w:pPr>
            <w:r>
              <w:rPr>
                <w:sz w:val="18"/>
              </w:rPr>
              <w:t>1.0</w:t>
            </w:r>
          </w:p>
        </w:tc>
        <w:tc>
          <w:tcPr>
            <w:tcW w:type="dxa" w:w="1512"/>
            <w:shd w:val="clear" w:color="auto" w:fill="C5CAE9"/>
          </w:tcPr>
          <w:p>
            <w:pPr>
              <w:jc w:val="center"/>
            </w:pPr>
            <w:r>
              <w:rPr>
                <w:sz w:val="18"/>
              </w:rPr>
              <w:t>2.4</w:t>
            </w:r>
          </w:p>
        </w:tc>
      </w:tr>
      <w:tr>
        <w:tc>
          <w:tcPr>
            <w:tcW w:type="dxa" w:w="1512"/>
          </w:tcPr>
          <w:p>
            <w:pPr>
              <w:jc w:val="center"/>
            </w:pPr>
            <w:r>
              <w:rPr>
                <w:sz w:val="18"/>
              </w:rPr>
              <w:t>2019.0</w:t>
            </w:r>
          </w:p>
        </w:tc>
        <w:tc>
          <w:tcPr>
            <w:tcW w:type="dxa" w:w="1512"/>
          </w:tcPr>
          <w:p>
            <w:pPr>
              <w:jc w:val="center"/>
            </w:pPr>
            <w:r>
              <w:rPr>
                <w:sz w:val="18"/>
              </w:rPr>
              <w:t>109.02</w:t>
            </w:r>
          </w:p>
        </w:tc>
        <w:tc>
          <w:tcPr>
            <w:tcW w:type="dxa" w:w="1512"/>
          </w:tcPr>
          <w:p>
            <w:pPr>
              <w:jc w:val="center"/>
            </w:pPr>
            <w:r>
              <w:rPr>
                <w:sz w:val="18"/>
              </w:rPr>
              <w:t>-0.1</w:t>
            </w:r>
          </w:p>
        </w:tc>
        <w:tc>
          <w:tcPr>
            <w:tcW w:type="dxa" w:w="1512"/>
          </w:tcPr>
          <w:p>
            <w:pPr>
              <w:jc w:val="center"/>
            </w:pPr>
            <w:r>
              <w:rPr>
                <w:sz w:val="18"/>
              </w:rPr>
              <w:t>1.55</w:t>
            </w:r>
          </w:p>
        </w:tc>
        <w:tc>
          <w:tcPr>
            <w:tcW w:type="dxa" w:w="1512"/>
          </w:tcPr>
          <w:p>
            <w:pPr>
              <w:jc w:val="center"/>
            </w:pPr>
            <w:r>
              <w:rPr>
                <w:sz w:val="18"/>
              </w:rPr>
              <w:t>0.5</w:t>
            </w:r>
          </w:p>
        </w:tc>
        <w:tc>
          <w:tcPr>
            <w:tcW w:type="dxa" w:w="1512"/>
          </w:tcPr>
          <w:p>
            <w:pPr>
              <w:jc w:val="center"/>
            </w:pPr>
            <w:r>
              <w:rPr>
                <w:sz w:val="18"/>
              </w:rPr>
              <w:t>1.8</w:t>
            </w:r>
          </w:p>
        </w:tc>
      </w:tr>
      <w:tr>
        <w:tc>
          <w:tcPr>
            <w:tcW w:type="dxa" w:w="1512"/>
            <w:shd w:val="clear" w:color="auto" w:fill="C5CAE9"/>
          </w:tcPr>
          <w:p>
            <w:pPr>
              <w:jc w:val="center"/>
            </w:pPr>
            <w:r>
              <w:rPr>
                <w:sz w:val="18"/>
              </w:rPr>
              <w:t>2020.0</w:t>
            </w:r>
          </w:p>
        </w:tc>
        <w:tc>
          <w:tcPr>
            <w:tcW w:type="dxa" w:w="1512"/>
            <w:shd w:val="clear" w:color="auto" w:fill="C5CAE9"/>
          </w:tcPr>
          <w:p>
            <w:pPr>
              <w:jc w:val="center"/>
            </w:pPr>
            <w:r>
              <w:rPr>
                <w:sz w:val="18"/>
              </w:rPr>
              <w:t>106.98</w:t>
            </w:r>
          </w:p>
        </w:tc>
        <w:tc>
          <w:tcPr>
            <w:tcW w:type="dxa" w:w="1512"/>
            <w:shd w:val="clear" w:color="auto" w:fill="C5CAE9"/>
          </w:tcPr>
          <w:p>
            <w:pPr>
              <w:jc w:val="center"/>
            </w:pPr>
            <w:r>
              <w:rPr>
                <w:sz w:val="18"/>
              </w:rPr>
              <w:t>-0.1</w:t>
            </w:r>
          </w:p>
        </w:tc>
        <w:tc>
          <w:tcPr>
            <w:tcW w:type="dxa" w:w="1512"/>
            <w:shd w:val="clear" w:color="auto" w:fill="C5CAE9"/>
          </w:tcPr>
          <w:p>
            <w:pPr>
              <w:jc w:val="center"/>
            </w:pPr>
            <w:r>
              <w:rPr>
                <w:sz w:val="18"/>
              </w:rPr>
              <w:t>0.1</w:t>
            </w:r>
          </w:p>
        </w:tc>
        <w:tc>
          <w:tcPr>
            <w:tcW w:type="dxa" w:w="1512"/>
            <w:shd w:val="clear" w:color="auto" w:fill="C5CAE9"/>
          </w:tcPr>
          <w:p>
            <w:pPr>
              <w:jc w:val="center"/>
            </w:pPr>
            <w:r>
              <w:rPr>
                <w:sz w:val="18"/>
              </w:rPr>
              <w:t>0.0</w:t>
            </w:r>
          </w:p>
        </w:tc>
        <w:tc>
          <w:tcPr>
            <w:tcW w:type="dxa" w:w="1512"/>
            <w:shd w:val="clear" w:color="auto" w:fill="C5CAE9"/>
          </w:tcPr>
          <w:p>
            <w:pPr>
              <w:jc w:val="center"/>
            </w:pPr>
            <w:r>
              <w:rPr>
                <w:sz w:val="18"/>
              </w:rPr>
              <w:t>1.3</w:t>
            </w:r>
          </w:p>
        </w:tc>
      </w:tr>
      <w:tr>
        <w:tc>
          <w:tcPr>
            <w:tcW w:type="dxa" w:w="1512"/>
          </w:tcPr>
          <w:p>
            <w:pPr>
              <w:jc w:val="center"/>
            </w:pPr>
            <w:r>
              <w:rPr>
                <w:sz w:val="18"/>
              </w:rPr>
              <w:t>2021.0</w:t>
            </w:r>
          </w:p>
        </w:tc>
        <w:tc>
          <w:tcPr>
            <w:tcW w:type="dxa" w:w="1512"/>
          </w:tcPr>
          <w:p>
            <w:pPr>
              <w:jc w:val="center"/>
            </w:pPr>
            <w:r>
              <w:rPr>
                <w:sz w:val="18"/>
              </w:rPr>
              <w:t>109.82</w:t>
            </w:r>
          </w:p>
        </w:tc>
        <w:tc>
          <w:tcPr>
            <w:tcW w:type="dxa" w:w="1512"/>
          </w:tcPr>
          <w:p>
            <w:pPr>
              <w:jc w:val="center"/>
            </w:pPr>
            <w:r>
              <w:rPr>
                <w:sz w:val="18"/>
              </w:rPr>
              <w:t>-0.1</w:t>
            </w:r>
          </w:p>
        </w:tc>
        <w:tc>
          <w:tcPr>
            <w:tcW w:type="dxa" w:w="1512"/>
          </w:tcPr>
          <w:p>
            <w:pPr>
              <w:jc w:val="center"/>
            </w:pPr>
            <w:r>
              <w:rPr>
                <w:sz w:val="18"/>
              </w:rPr>
              <w:t>0.1</w:t>
            </w:r>
          </w:p>
        </w:tc>
        <w:tc>
          <w:tcPr>
            <w:tcW w:type="dxa" w:w="1512"/>
          </w:tcPr>
          <w:p>
            <w:pPr>
              <w:jc w:val="center"/>
            </w:pPr>
            <w:r>
              <w:rPr>
                <w:sz w:val="18"/>
              </w:rPr>
              <w:t>-0.2</w:t>
            </w:r>
          </w:p>
        </w:tc>
        <w:tc>
          <w:tcPr>
            <w:tcW w:type="dxa" w:w="1512"/>
          </w:tcPr>
          <w:p>
            <w:pPr>
              <w:jc w:val="center"/>
            </w:pPr>
            <w:r>
              <w:rPr>
                <w:sz w:val="18"/>
              </w:rPr>
              <w:t>4.7</w:t>
            </w:r>
          </w:p>
        </w:tc>
      </w:tr>
      <w:tr>
        <w:tc>
          <w:tcPr>
            <w:tcW w:type="dxa" w:w="1512"/>
            <w:shd w:val="clear" w:color="auto" w:fill="C5CAE9"/>
          </w:tcPr>
          <w:p>
            <w:pPr>
              <w:jc w:val="center"/>
            </w:pPr>
            <w:r>
              <w:rPr>
                <w:sz w:val="18"/>
              </w:rPr>
              <w:t>2022.0</w:t>
            </w:r>
          </w:p>
        </w:tc>
        <w:tc>
          <w:tcPr>
            <w:tcW w:type="dxa" w:w="1512"/>
            <w:shd w:val="clear" w:color="auto" w:fill="C5CAE9"/>
          </w:tcPr>
          <w:p>
            <w:pPr>
              <w:jc w:val="center"/>
            </w:pPr>
            <w:r>
              <w:rPr>
                <w:sz w:val="18"/>
              </w:rPr>
              <w:t>131.45</w:t>
            </w:r>
          </w:p>
        </w:tc>
        <w:tc>
          <w:tcPr>
            <w:tcW w:type="dxa" w:w="1512"/>
            <w:shd w:val="clear" w:color="auto" w:fill="C5CAE9"/>
          </w:tcPr>
          <w:p>
            <w:pPr>
              <w:jc w:val="center"/>
            </w:pPr>
            <w:r>
              <w:rPr>
                <w:sz w:val="18"/>
              </w:rPr>
              <w:t>-0.1</w:t>
            </w:r>
          </w:p>
        </w:tc>
        <w:tc>
          <w:tcPr>
            <w:tcW w:type="dxa" w:w="1512"/>
            <w:shd w:val="clear" w:color="auto" w:fill="C5CAE9"/>
          </w:tcPr>
          <w:p>
            <w:pPr>
              <w:jc w:val="center"/>
            </w:pPr>
            <w:r>
              <w:rPr>
                <w:sz w:val="18"/>
              </w:rPr>
              <w:t>4.33</w:t>
            </w:r>
          </w:p>
        </w:tc>
        <w:tc>
          <w:tcPr>
            <w:tcW w:type="dxa" w:w="1512"/>
            <w:shd w:val="clear" w:color="auto" w:fill="C5CAE9"/>
          </w:tcPr>
          <w:p>
            <w:pPr>
              <w:jc w:val="center"/>
            </w:pPr>
            <w:r>
              <w:rPr>
                <w:sz w:val="18"/>
              </w:rPr>
              <w:t>2.5</w:t>
            </w:r>
          </w:p>
        </w:tc>
        <w:tc>
          <w:tcPr>
            <w:tcW w:type="dxa" w:w="1512"/>
            <w:shd w:val="clear" w:color="auto" w:fill="C5CAE9"/>
          </w:tcPr>
          <w:p>
            <w:pPr>
              <w:jc w:val="center"/>
            </w:pPr>
            <w:r>
              <w:rPr>
                <w:sz w:val="18"/>
              </w:rPr>
              <w:t>8.0</w:t>
            </w:r>
          </w:p>
        </w:tc>
      </w:tr>
      <w:tr>
        <w:tc>
          <w:tcPr>
            <w:tcW w:type="dxa" w:w="1512"/>
          </w:tcPr>
          <w:p>
            <w:pPr>
              <w:jc w:val="center"/>
            </w:pPr>
            <w:r>
              <w:rPr>
                <w:sz w:val="18"/>
              </w:rPr>
              <w:t>2023.0</w:t>
            </w:r>
          </w:p>
        </w:tc>
        <w:tc>
          <w:tcPr>
            <w:tcW w:type="dxa" w:w="1512"/>
          </w:tcPr>
          <w:p>
            <w:pPr>
              <w:jc w:val="center"/>
            </w:pPr>
            <w:r>
              <w:rPr>
                <w:sz w:val="18"/>
              </w:rPr>
              <w:t>140.51</w:t>
            </w:r>
          </w:p>
        </w:tc>
        <w:tc>
          <w:tcPr>
            <w:tcW w:type="dxa" w:w="1512"/>
          </w:tcPr>
          <w:p>
            <w:pPr>
              <w:jc w:val="center"/>
            </w:pPr>
            <w:r>
              <w:rPr>
                <w:sz w:val="18"/>
              </w:rPr>
              <w:t>-0.1</w:t>
            </w:r>
          </w:p>
        </w:tc>
        <w:tc>
          <w:tcPr>
            <w:tcW w:type="dxa" w:w="1512"/>
          </w:tcPr>
          <w:p>
            <w:pPr>
              <w:jc w:val="center"/>
            </w:pPr>
            <w:r>
              <w:rPr>
                <w:sz w:val="18"/>
              </w:rPr>
              <w:t>5.33</w:t>
            </w:r>
          </w:p>
        </w:tc>
        <w:tc>
          <w:tcPr>
            <w:tcW w:type="dxa" w:w="1512"/>
          </w:tcPr>
          <w:p>
            <w:pPr>
              <w:jc w:val="center"/>
            </w:pPr>
            <w:r>
              <w:rPr>
                <w:sz w:val="18"/>
              </w:rPr>
              <w:t>3.3</w:t>
            </w:r>
          </w:p>
        </w:tc>
        <w:tc>
          <w:tcPr>
            <w:tcW w:type="dxa" w:w="1512"/>
          </w:tcPr>
          <w:p>
            <w:pPr>
              <w:jc w:val="center"/>
            </w:pPr>
            <w:r>
              <w:rPr>
                <w:sz w:val="18"/>
              </w:rPr>
              <w:t>4.1</w:t>
            </w:r>
          </w:p>
        </w:tc>
      </w:tr>
      <w:tr>
        <w:tc>
          <w:tcPr>
            <w:tcW w:type="dxa" w:w="1512"/>
            <w:shd w:val="clear" w:color="auto" w:fill="C5CAE9"/>
          </w:tcPr>
          <w:p>
            <w:pPr>
              <w:jc w:val="center"/>
            </w:pPr>
            <w:r>
              <w:rPr>
                <w:sz w:val="18"/>
              </w:rPr>
              <w:t>2024.0</w:t>
            </w:r>
          </w:p>
        </w:tc>
        <w:tc>
          <w:tcPr>
            <w:tcW w:type="dxa" w:w="1512"/>
            <w:shd w:val="clear" w:color="auto" w:fill="C5CAE9"/>
          </w:tcPr>
          <w:p>
            <w:pPr>
              <w:jc w:val="center"/>
            </w:pPr>
            <w:r>
              <w:rPr>
                <w:sz w:val="18"/>
              </w:rPr>
              <w:t>151.35</w:t>
            </w:r>
          </w:p>
        </w:tc>
        <w:tc>
          <w:tcPr>
            <w:tcW w:type="dxa" w:w="1512"/>
            <w:shd w:val="clear" w:color="auto" w:fill="C5CAE9"/>
          </w:tcPr>
          <w:p>
            <w:pPr>
              <w:jc w:val="center"/>
            </w:pPr>
            <w:r>
              <w:rPr>
                <w:sz w:val="18"/>
              </w:rPr>
              <w:t>0.25</w:t>
            </w:r>
          </w:p>
        </w:tc>
        <w:tc>
          <w:tcPr>
            <w:tcW w:type="dxa" w:w="1512"/>
            <w:shd w:val="clear" w:color="auto" w:fill="C5CAE9"/>
          </w:tcPr>
          <w:p>
            <w:pPr>
              <w:jc w:val="center"/>
            </w:pPr>
            <w:r>
              <w:rPr>
                <w:sz w:val="18"/>
              </w:rPr>
              <w:t>4.5</w:t>
            </w:r>
          </w:p>
        </w:tc>
        <w:tc>
          <w:tcPr>
            <w:tcW w:type="dxa" w:w="1512"/>
            <w:shd w:val="clear" w:color="auto" w:fill="C5CAE9"/>
          </w:tcPr>
          <w:p>
            <w:pPr>
              <w:jc w:val="center"/>
            </w:pPr>
            <w:r>
              <w:rPr>
                <w:sz w:val="18"/>
              </w:rPr>
              <w:t>2.7</w:t>
            </w:r>
          </w:p>
        </w:tc>
        <w:tc>
          <w:tcPr>
            <w:tcW w:type="dxa" w:w="1512"/>
            <w:shd w:val="clear" w:color="auto" w:fill="C5CAE9"/>
          </w:tcPr>
          <w:p>
            <w:pPr>
              <w:jc w:val="center"/>
            </w:pPr>
            <w:r>
              <w:rPr>
                <w:sz w:val="18"/>
              </w:rPr>
              <w:t>3.0</w:t>
            </w:r>
          </w:p>
        </w:tc>
      </w:tr>
      <w:tr>
        <w:tc>
          <w:tcPr>
            <w:tcW w:type="dxa" w:w="1512"/>
          </w:tcPr>
          <w:p>
            <w:pPr>
              <w:jc w:val="center"/>
            </w:pPr>
            <w:r>
              <w:rPr>
                <w:sz w:val="18"/>
              </w:rPr>
              <w:t>2025.0</w:t>
            </w:r>
          </w:p>
        </w:tc>
        <w:tc>
          <w:tcPr>
            <w:tcW w:type="dxa" w:w="1512"/>
          </w:tcPr>
          <w:p>
            <w:pPr>
              <w:jc w:val="center"/>
            </w:pPr>
            <w:r>
              <w:rPr>
                <w:sz w:val="18"/>
              </w:rPr>
              <w:t>149.63</w:t>
            </w:r>
          </w:p>
        </w:tc>
        <w:tc>
          <w:tcPr>
            <w:tcW w:type="dxa" w:w="1512"/>
          </w:tcPr>
          <w:p>
            <w:pPr>
              <w:jc w:val="center"/>
            </w:pPr>
            <w:r>
              <w:rPr>
                <w:sz w:val="18"/>
              </w:rPr>
              <w:t>0.75</w:t>
            </w:r>
          </w:p>
        </w:tc>
        <w:tc>
          <w:tcPr>
            <w:tcW w:type="dxa" w:w="1512"/>
          </w:tcPr>
          <w:p>
            <w:pPr>
              <w:jc w:val="center"/>
            </w:pPr>
            <w:r>
              <w:rPr>
                <w:sz w:val="18"/>
              </w:rPr>
              <w:t>4.0</w:t>
            </w:r>
          </w:p>
        </w:tc>
        <w:tc>
          <w:tcPr>
            <w:tcW w:type="dxa" w:w="1512"/>
          </w:tcPr>
          <w:p>
            <w:pPr>
              <w:jc w:val="center"/>
            </w:pPr>
            <w:r>
              <w:rPr>
                <w:sz w:val="18"/>
              </w:rPr>
              <w:t>3.3</w:t>
            </w:r>
          </w:p>
        </w:tc>
        <w:tc>
          <w:tcPr>
            <w:tcW w:type="dxa" w:w="1512"/>
          </w:tcPr>
          <w:p>
            <w:pPr>
              <w:jc w:val="center"/>
            </w:pPr>
            <w:r>
              <w:rPr>
                <w:sz w:val="18"/>
              </w:rPr>
              <w:t>2.7</w:t>
            </w:r>
          </w:p>
        </w:tc>
      </w:tr>
      <w:tr>
        <w:tc>
          <w:tcPr>
            <w:tcW w:type="dxa" w:w="1512"/>
            <w:shd w:val="clear" w:color="auto" w:fill="C5CAE9"/>
          </w:tcPr>
          <w:p>
            <w:pPr>
              <w:jc w:val="center"/>
            </w:pPr>
            <w:r>
              <w:rPr>
                <w:sz w:val="18"/>
              </w:rPr>
              <w:t>2026.0</w:t>
            </w:r>
          </w:p>
        </w:tc>
        <w:tc>
          <w:tcPr>
            <w:tcW w:type="dxa" w:w="1512"/>
            <w:shd w:val="clear" w:color="auto" w:fill="C5CAE9"/>
          </w:tcPr>
          <w:p>
            <w:pPr>
              <w:jc w:val="center"/>
            </w:pPr>
            <w:r>
              <w:rPr>
                <w:sz w:val="18"/>
              </w:rPr>
              <w:t>157.5</w:t>
            </w:r>
          </w:p>
        </w:tc>
        <w:tc>
          <w:tcPr>
            <w:tcW w:type="dxa" w:w="1512"/>
            <w:shd w:val="clear" w:color="auto" w:fill="C5CAE9"/>
          </w:tcPr>
          <w:p>
            <w:pPr>
              <w:jc w:val="center"/>
            </w:pPr>
            <w:r>
              <w:rPr>
                <w:sz w:val="18"/>
              </w:rPr>
              <w:t>0.75</w:t>
            </w:r>
          </w:p>
        </w:tc>
        <w:tc>
          <w:tcPr>
            <w:tcW w:type="dxa" w:w="1512"/>
            <w:shd w:val="clear" w:color="auto" w:fill="C5CAE9"/>
          </w:tcPr>
          <w:p>
            <w:pPr>
              <w:jc w:val="center"/>
            </w:pPr>
            <w:r>
              <w:rPr>
                <w:sz w:val="18"/>
              </w:rPr>
              <w:t>3.75</w:t>
            </w:r>
          </w:p>
        </w:tc>
        <w:tc>
          <w:tcPr>
            <w:tcW w:type="dxa" w:w="1512"/>
            <w:shd w:val="clear" w:color="auto" w:fill="C5CAE9"/>
          </w:tcPr>
          <w:p>
            <w:pPr>
              <w:jc w:val="center"/>
            </w:pPr>
            <w:r>
              <w:rPr>
                <w:sz w:val="18"/>
              </w:rPr>
              <w:t>2.8</w:t>
            </w:r>
          </w:p>
        </w:tc>
        <w:tc>
          <w:tcPr>
            <w:tcW w:type="dxa" w:w="1512"/>
            <w:shd w:val="clear" w:color="auto" w:fill="C5CAE9"/>
          </w:tcPr>
          <w:p>
            <w:pPr>
              <w:jc w:val="center"/>
            </w:pPr>
            <w:r>
              <w:rPr>
                <w:sz w:val="18"/>
              </w:rPr>
              <w:t>3.3</w:t>
            </w:r>
          </w:p>
        </w:tc>
      </w:tr>
    </w:tbl>
    <w:p/>
    <w:p>
      <w:r>
        <w:t>Note: BOJ maintained negative interest rates (-0.10%) from January 2016 through March 2024 — the longest negative rate regime by any major central bank. The first hike to 0.25% came in March 2024, followed by 0.50% (Jul 2025) and 0.75% (Dec 2025).</w:t>
      </w:r>
    </w:p>
    <w:p>
      <w:r>
        <w:br w:type="page"/>
      </w:r>
    </w:p>
    <w:p>
      <w:pPr>
        <w:pStyle w:val="Heading1"/>
      </w:pPr>
      <w:r>
        <w:t>4. Investor P&amp;L Analysis</w:t>
      </w:r>
    </w:p>
    <w:p>
      <w:r>
        <w:t>The table below shows year-by-year P&amp;L. Key distinction: JPY depreciation (positive values in the FX column) is a GAIN for this trade, unlike the INR trade where depreciation was a cost.</w:t>
      </w:r>
    </w:p>
    <w:tbl>
      <w:tblPr>
        <w:tblStyle w:val="TableGrid"/>
        <w:tblW w:type="auto" w:w="0"/>
        <w:jc w:val="center"/>
        <w:tblLook w:firstColumn="1" w:firstRow="1" w:lastColumn="0" w:lastRow="0" w:noHBand="0" w:noVBand="1" w:val="04A0"/>
      </w:tblPr>
      <w:tblGrid>
        <w:gridCol w:w="1134"/>
        <w:gridCol w:w="1134"/>
        <w:gridCol w:w="1134"/>
        <w:gridCol w:w="1134"/>
        <w:gridCol w:w="1134"/>
        <w:gridCol w:w="1134"/>
        <w:gridCol w:w="1134"/>
        <w:gridCol w:w="1134"/>
      </w:tblGrid>
      <w:tr>
        <w:tc>
          <w:tcPr>
            <w:tcW w:type="dxa" w:w="1134"/>
            <w:shd w:val="clear" w:color="auto" w:fill="1A237E"/>
          </w:tcPr>
          <w:p>
            <w:pPr>
              <w:jc w:val="center"/>
            </w:pPr>
            <w:r>
              <w:rPr>
                <w:b/>
                <w:color w:val="FFFFFF"/>
                <w:sz w:val="18"/>
              </w:rPr>
              <w:t>Year</w:t>
            </w:r>
          </w:p>
        </w:tc>
        <w:tc>
          <w:tcPr>
            <w:tcW w:type="dxa" w:w="1134"/>
            <w:shd w:val="clear" w:color="auto" w:fill="1A237E"/>
          </w:tcPr>
          <w:p>
            <w:pPr>
              <w:jc w:val="center"/>
            </w:pPr>
            <w:r>
              <w:rPr>
                <w:b/>
                <w:color w:val="FFFFFF"/>
                <w:sz w:val="18"/>
              </w:rPr>
              <w:t>USD/JPY Start</w:t>
            </w:r>
          </w:p>
        </w:tc>
        <w:tc>
          <w:tcPr>
            <w:tcW w:type="dxa" w:w="1134"/>
            <w:shd w:val="clear" w:color="auto" w:fill="1A237E"/>
          </w:tcPr>
          <w:p>
            <w:pPr>
              <w:jc w:val="center"/>
            </w:pPr>
            <w:r>
              <w:rPr>
                <w:b/>
                <w:color w:val="FFFFFF"/>
                <w:sz w:val="18"/>
              </w:rPr>
              <w:t>USD/JPY End</w:t>
            </w:r>
          </w:p>
        </w:tc>
        <w:tc>
          <w:tcPr>
            <w:tcW w:type="dxa" w:w="1134"/>
            <w:shd w:val="clear" w:color="auto" w:fill="1A237E"/>
          </w:tcPr>
          <w:p>
            <w:pPr>
              <w:jc w:val="center"/>
            </w:pPr>
            <w:r>
              <w:rPr>
                <w:b/>
                <w:color w:val="FFFFFF"/>
                <w:sz w:val="18"/>
              </w:rPr>
              <w:t>US Rate (Earn)%</w:t>
            </w:r>
          </w:p>
        </w:tc>
        <w:tc>
          <w:tcPr>
            <w:tcW w:type="dxa" w:w="1134"/>
            <w:shd w:val="clear" w:color="auto" w:fill="1A237E"/>
          </w:tcPr>
          <w:p>
            <w:pPr>
              <w:jc w:val="center"/>
            </w:pPr>
            <w:r>
              <w:rPr>
                <w:b/>
                <w:color w:val="FFFFFF"/>
                <w:sz w:val="18"/>
              </w:rPr>
              <w:t>JPY Rate (Borrow)%</w:t>
            </w:r>
          </w:p>
        </w:tc>
        <w:tc>
          <w:tcPr>
            <w:tcW w:type="dxa" w:w="1134"/>
            <w:shd w:val="clear" w:color="auto" w:fill="1A237E"/>
          </w:tcPr>
          <w:p>
            <w:pPr>
              <w:jc w:val="center"/>
            </w:pPr>
            <w:r>
              <w:rPr>
                <w:b/>
                <w:color w:val="FFFFFF"/>
                <w:sz w:val="18"/>
              </w:rPr>
              <w:t>Carry Diff%</w:t>
            </w:r>
          </w:p>
        </w:tc>
        <w:tc>
          <w:tcPr>
            <w:tcW w:type="dxa" w:w="1134"/>
            <w:shd w:val="clear" w:color="auto" w:fill="1A237E"/>
          </w:tcPr>
          <w:p>
            <w:pPr>
              <w:jc w:val="center"/>
            </w:pPr>
            <w:r>
              <w:rPr>
                <w:b/>
                <w:color w:val="FFFFFF"/>
                <w:sz w:val="18"/>
              </w:rPr>
              <w:t>JPY Depr% (+ = gain)</w:t>
            </w:r>
          </w:p>
        </w:tc>
        <w:tc>
          <w:tcPr>
            <w:tcW w:type="dxa" w:w="1134"/>
            <w:shd w:val="clear" w:color="auto" w:fill="1A237E"/>
          </w:tcPr>
          <w:p>
            <w:pPr>
              <w:jc w:val="center"/>
            </w:pPr>
            <w:r>
              <w:rPr>
                <w:b/>
                <w:color w:val="FFFFFF"/>
                <w:sz w:val="18"/>
              </w:rPr>
              <w:t>Net P&amp;L%</w:t>
            </w:r>
          </w:p>
        </w:tc>
      </w:tr>
      <w:tr>
        <w:tc>
          <w:tcPr>
            <w:tcW w:type="dxa" w:w="1134"/>
            <w:shd w:val="clear" w:color="auto" w:fill="C5CAE9"/>
          </w:tcPr>
          <w:p>
            <w:pPr>
              <w:jc w:val="center"/>
            </w:pPr>
            <w:r>
              <w:rPr>
                <w:sz w:val="18"/>
              </w:rPr>
              <w:t>2017.0</w:t>
            </w:r>
          </w:p>
        </w:tc>
        <w:tc>
          <w:tcPr>
            <w:tcW w:type="dxa" w:w="1134"/>
            <w:shd w:val="clear" w:color="auto" w:fill="C5CAE9"/>
          </w:tcPr>
          <w:p>
            <w:pPr>
              <w:jc w:val="center"/>
            </w:pPr>
            <w:r>
              <w:rPr>
                <w:sz w:val="18"/>
              </w:rPr>
              <w:t>108.79</w:t>
            </w:r>
          </w:p>
        </w:tc>
        <w:tc>
          <w:tcPr>
            <w:tcW w:type="dxa" w:w="1134"/>
            <w:shd w:val="clear" w:color="auto" w:fill="C5CAE9"/>
          </w:tcPr>
          <w:p>
            <w:pPr>
              <w:jc w:val="center"/>
            </w:pPr>
            <w:r>
              <w:rPr>
                <w:sz w:val="18"/>
              </w:rPr>
              <w:t>112.04</w:t>
            </w:r>
          </w:p>
        </w:tc>
        <w:tc>
          <w:tcPr>
            <w:tcW w:type="dxa" w:w="1134"/>
            <w:shd w:val="clear" w:color="auto" w:fill="C5CAE9"/>
          </w:tcPr>
          <w:p>
            <w:pPr>
              <w:jc w:val="center"/>
            </w:pPr>
            <w:r>
              <w:rPr>
                <w:sz w:val="18"/>
              </w:rPr>
              <w:t>0.5</w:t>
            </w:r>
          </w:p>
        </w:tc>
        <w:tc>
          <w:tcPr>
            <w:tcW w:type="dxa" w:w="1134"/>
            <w:shd w:val="clear" w:color="auto" w:fill="C5CAE9"/>
          </w:tcPr>
          <w:p>
            <w:pPr>
              <w:jc w:val="center"/>
            </w:pPr>
            <w:r>
              <w:rPr>
                <w:sz w:val="18"/>
              </w:rPr>
              <w:t>-0.1</w:t>
            </w:r>
          </w:p>
        </w:tc>
        <w:tc>
          <w:tcPr>
            <w:tcW w:type="dxa" w:w="1134"/>
            <w:shd w:val="clear" w:color="auto" w:fill="C5CAE9"/>
          </w:tcPr>
          <w:p>
            <w:pPr>
              <w:jc w:val="center"/>
            </w:pPr>
            <w:r>
              <w:rPr>
                <w:sz w:val="18"/>
              </w:rPr>
              <w:t>0.6</w:t>
            </w:r>
          </w:p>
        </w:tc>
        <w:tc>
          <w:tcPr>
            <w:tcW w:type="dxa" w:w="1134"/>
            <w:shd w:val="clear" w:color="auto" w:fill="C5CAE9"/>
          </w:tcPr>
          <w:p>
            <w:pPr>
              <w:jc w:val="center"/>
            </w:pPr>
            <w:r>
              <w:rPr>
                <w:sz w:val="18"/>
              </w:rPr>
              <w:t>2.99</w:t>
            </w:r>
          </w:p>
        </w:tc>
        <w:tc>
          <w:tcPr>
            <w:tcW w:type="dxa" w:w="1134"/>
            <w:shd w:val="clear" w:color="auto" w:fill="C5CAE9"/>
          </w:tcPr>
          <w:p>
            <w:pPr>
              <w:jc w:val="center"/>
            </w:pPr>
            <w:r>
              <w:rPr>
                <w:sz w:val="18"/>
              </w:rPr>
              <w:t>3.5</w:t>
            </w:r>
          </w:p>
        </w:tc>
      </w:tr>
      <w:tr>
        <w:tc>
          <w:tcPr>
            <w:tcW w:type="dxa" w:w="1134"/>
          </w:tcPr>
          <w:p>
            <w:pPr>
              <w:jc w:val="center"/>
            </w:pPr>
            <w:r>
              <w:rPr>
                <w:sz w:val="18"/>
              </w:rPr>
              <w:t>2018.0</w:t>
            </w:r>
          </w:p>
        </w:tc>
        <w:tc>
          <w:tcPr>
            <w:tcW w:type="dxa" w:w="1134"/>
          </w:tcPr>
          <w:p>
            <w:pPr>
              <w:jc w:val="center"/>
            </w:pPr>
            <w:r>
              <w:rPr>
                <w:sz w:val="18"/>
              </w:rPr>
              <w:t>112.04</w:t>
            </w:r>
          </w:p>
        </w:tc>
        <w:tc>
          <w:tcPr>
            <w:tcW w:type="dxa" w:w="1134"/>
          </w:tcPr>
          <w:p>
            <w:pPr>
              <w:jc w:val="center"/>
            </w:pPr>
            <w:r>
              <w:rPr>
                <w:sz w:val="18"/>
              </w:rPr>
              <w:t>110.48</w:t>
            </w:r>
          </w:p>
        </w:tc>
        <w:tc>
          <w:tcPr>
            <w:tcW w:type="dxa" w:w="1134"/>
          </w:tcPr>
          <w:p>
            <w:pPr>
              <w:jc w:val="center"/>
            </w:pPr>
            <w:r>
              <w:rPr>
                <w:sz w:val="18"/>
              </w:rPr>
              <w:t>1.25</w:t>
            </w:r>
          </w:p>
        </w:tc>
        <w:tc>
          <w:tcPr>
            <w:tcW w:type="dxa" w:w="1134"/>
          </w:tcPr>
          <w:p>
            <w:pPr>
              <w:jc w:val="center"/>
            </w:pPr>
            <w:r>
              <w:rPr>
                <w:sz w:val="18"/>
              </w:rPr>
              <w:t>-0.1</w:t>
            </w:r>
          </w:p>
        </w:tc>
        <w:tc>
          <w:tcPr>
            <w:tcW w:type="dxa" w:w="1134"/>
          </w:tcPr>
          <w:p>
            <w:pPr>
              <w:jc w:val="center"/>
            </w:pPr>
            <w:r>
              <w:rPr>
                <w:sz w:val="18"/>
              </w:rPr>
              <w:t>1.35</w:t>
            </w:r>
          </w:p>
        </w:tc>
        <w:tc>
          <w:tcPr>
            <w:tcW w:type="dxa" w:w="1134"/>
          </w:tcPr>
          <w:p>
            <w:pPr>
              <w:jc w:val="center"/>
            </w:pPr>
            <w:r>
              <w:rPr>
                <w:sz w:val="18"/>
              </w:rPr>
              <w:t>-1.39</w:t>
            </w:r>
          </w:p>
        </w:tc>
        <w:tc>
          <w:tcPr>
            <w:tcW w:type="dxa" w:w="1134"/>
          </w:tcPr>
          <w:p>
            <w:pPr>
              <w:jc w:val="center"/>
            </w:pPr>
            <w:r>
              <w:rPr>
                <w:sz w:val="18"/>
              </w:rPr>
              <w:t>-0.06</w:t>
            </w:r>
          </w:p>
        </w:tc>
      </w:tr>
      <w:tr>
        <w:tc>
          <w:tcPr>
            <w:tcW w:type="dxa" w:w="1134"/>
            <w:shd w:val="clear" w:color="auto" w:fill="C5CAE9"/>
          </w:tcPr>
          <w:p>
            <w:pPr>
              <w:jc w:val="center"/>
            </w:pPr>
            <w:r>
              <w:rPr>
                <w:sz w:val="18"/>
              </w:rPr>
              <w:t>2019.0</w:t>
            </w:r>
          </w:p>
        </w:tc>
        <w:tc>
          <w:tcPr>
            <w:tcW w:type="dxa" w:w="1134"/>
            <w:shd w:val="clear" w:color="auto" w:fill="C5CAE9"/>
          </w:tcPr>
          <w:p>
            <w:pPr>
              <w:jc w:val="center"/>
            </w:pPr>
            <w:r>
              <w:rPr>
                <w:sz w:val="18"/>
              </w:rPr>
              <w:t>110.48</w:t>
            </w:r>
          </w:p>
        </w:tc>
        <w:tc>
          <w:tcPr>
            <w:tcW w:type="dxa" w:w="1134"/>
            <w:shd w:val="clear" w:color="auto" w:fill="C5CAE9"/>
          </w:tcPr>
          <w:p>
            <w:pPr>
              <w:jc w:val="center"/>
            </w:pPr>
            <w:r>
              <w:rPr>
                <w:sz w:val="18"/>
              </w:rPr>
              <w:t>109.02</w:t>
            </w:r>
          </w:p>
        </w:tc>
        <w:tc>
          <w:tcPr>
            <w:tcW w:type="dxa" w:w="1134"/>
            <w:shd w:val="clear" w:color="auto" w:fill="C5CAE9"/>
          </w:tcPr>
          <w:p>
            <w:pPr>
              <w:jc w:val="center"/>
            </w:pPr>
            <w:r>
              <w:rPr>
                <w:sz w:val="18"/>
              </w:rPr>
              <w:t>2.4</w:t>
            </w:r>
          </w:p>
        </w:tc>
        <w:tc>
          <w:tcPr>
            <w:tcW w:type="dxa" w:w="1134"/>
            <w:shd w:val="clear" w:color="auto" w:fill="C5CAE9"/>
          </w:tcPr>
          <w:p>
            <w:pPr>
              <w:jc w:val="center"/>
            </w:pPr>
            <w:r>
              <w:rPr>
                <w:sz w:val="18"/>
              </w:rPr>
              <w:t>-0.1</w:t>
            </w:r>
          </w:p>
        </w:tc>
        <w:tc>
          <w:tcPr>
            <w:tcW w:type="dxa" w:w="1134"/>
            <w:shd w:val="clear" w:color="auto" w:fill="C5CAE9"/>
          </w:tcPr>
          <w:p>
            <w:pPr>
              <w:jc w:val="center"/>
            </w:pPr>
            <w:r>
              <w:rPr>
                <w:sz w:val="18"/>
              </w:rPr>
              <w:t>2.5</w:t>
            </w:r>
          </w:p>
        </w:tc>
        <w:tc>
          <w:tcPr>
            <w:tcW w:type="dxa" w:w="1134"/>
            <w:shd w:val="clear" w:color="auto" w:fill="C5CAE9"/>
          </w:tcPr>
          <w:p>
            <w:pPr>
              <w:jc w:val="center"/>
            </w:pPr>
            <w:r>
              <w:rPr>
                <w:sz w:val="18"/>
              </w:rPr>
              <w:t>-1.32</w:t>
            </w:r>
          </w:p>
        </w:tc>
        <w:tc>
          <w:tcPr>
            <w:tcW w:type="dxa" w:w="1134"/>
            <w:shd w:val="clear" w:color="auto" w:fill="C5CAE9"/>
          </w:tcPr>
          <w:p>
            <w:pPr>
              <w:jc w:val="center"/>
            </w:pPr>
            <w:r>
              <w:rPr>
                <w:sz w:val="18"/>
              </w:rPr>
              <w:t>1.16</w:t>
            </w:r>
          </w:p>
        </w:tc>
      </w:tr>
      <w:tr>
        <w:tc>
          <w:tcPr>
            <w:tcW w:type="dxa" w:w="1134"/>
          </w:tcPr>
          <w:p>
            <w:pPr>
              <w:jc w:val="center"/>
            </w:pPr>
            <w:r>
              <w:rPr>
                <w:sz w:val="18"/>
              </w:rPr>
              <w:t>2020.0</w:t>
            </w:r>
          </w:p>
        </w:tc>
        <w:tc>
          <w:tcPr>
            <w:tcW w:type="dxa" w:w="1134"/>
          </w:tcPr>
          <w:p>
            <w:pPr>
              <w:jc w:val="center"/>
            </w:pPr>
            <w:r>
              <w:rPr>
                <w:sz w:val="18"/>
              </w:rPr>
              <w:t>109.02</w:t>
            </w:r>
          </w:p>
        </w:tc>
        <w:tc>
          <w:tcPr>
            <w:tcW w:type="dxa" w:w="1134"/>
          </w:tcPr>
          <w:p>
            <w:pPr>
              <w:jc w:val="center"/>
            </w:pPr>
            <w:r>
              <w:rPr>
                <w:sz w:val="18"/>
              </w:rPr>
              <w:t>106.98</w:t>
            </w:r>
          </w:p>
        </w:tc>
        <w:tc>
          <w:tcPr>
            <w:tcW w:type="dxa" w:w="1134"/>
          </w:tcPr>
          <w:p>
            <w:pPr>
              <w:jc w:val="center"/>
            </w:pPr>
            <w:r>
              <w:rPr>
                <w:sz w:val="18"/>
              </w:rPr>
              <w:t>1.55</w:t>
            </w:r>
          </w:p>
        </w:tc>
        <w:tc>
          <w:tcPr>
            <w:tcW w:type="dxa" w:w="1134"/>
          </w:tcPr>
          <w:p>
            <w:pPr>
              <w:jc w:val="center"/>
            </w:pPr>
            <w:r>
              <w:rPr>
                <w:sz w:val="18"/>
              </w:rPr>
              <w:t>-0.1</w:t>
            </w:r>
          </w:p>
        </w:tc>
        <w:tc>
          <w:tcPr>
            <w:tcW w:type="dxa" w:w="1134"/>
          </w:tcPr>
          <w:p>
            <w:pPr>
              <w:jc w:val="center"/>
            </w:pPr>
            <w:r>
              <w:rPr>
                <w:sz w:val="18"/>
              </w:rPr>
              <w:t>1.65</w:t>
            </w:r>
          </w:p>
        </w:tc>
        <w:tc>
          <w:tcPr>
            <w:tcW w:type="dxa" w:w="1134"/>
          </w:tcPr>
          <w:p>
            <w:pPr>
              <w:jc w:val="center"/>
            </w:pPr>
            <w:r>
              <w:rPr>
                <w:sz w:val="18"/>
              </w:rPr>
              <w:t>-1.87</w:t>
            </w:r>
          </w:p>
        </w:tc>
        <w:tc>
          <w:tcPr>
            <w:tcW w:type="dxa" w:w="1134"/>
          </w:tcPr>
          <w:p>
            <w:pPr>
              <w:jc w:val="center"/>
            </w:pPr>
            <w:r>
              <w:rPr>
                <w:sz w:val="18"/>
              </w:rPr>
              <w:t>-0.25</w:t>
            </w:r>
          </w:p>
        </w:tc>
      </w:tr>
      <w:tr>
        <w:tc>
          <w:tcPr>
            <w:tcW w:type="dxa" w:w="1134"/>
            <w:shd w:val="clear" w:color="auto" w:fill="C5CAE9"/>
          </w:tcPr>
          <w:p>
            <w:pPr>
              <w:jc w:val="center"/>
            </w:pPr>
            <w:r>
              <w:rPr>
                <w:sz w:val="18"/>
              </w:rPr>
              <w:t>2021.0</w:t>
            </w:r>
          </w:p>
        </w:tc>
        <w:tc>
          <w:tcPr>
            <w:tcW w:type="dxa" w:w="1134"/>
            <w:shd w:val="clear" w:color="auto" w:fill="C5CAE9"/>
          </w:tcPr>
          <w:p>
            <w:pPr>
              <w:jc w:val="center"/>
            </w:pPr>
            <w:r>
              <w:rPr>
                <w:sz w:val="18"/>
              </w:rPr>
              <w:t>106.98</w:t>
            </w:r>
          </w:p>
        </w:tc>
        <w:tc>
          <w:tcPr>
            <w:tcW w:type="dxa" w:w="1134"/>
            <w:shd w:val="clear" w:color="auto" w:fill="C5CAE9"/>
          </w:tcPr>
          <w:p>
            <w:pPr>
              <w:jc w:val="center"/>
            </w:pPr>
            <w:r>
              <w:rPr>
                <w:sz w:val="18"/>
              </w:rPr>
              <w:t>109.82</w:t>
            </w:r>
          </w:p>
        </w:tc>
        <w:tc>
          <w:tcPr>
            <w:tcW w:type="dxa" w:w="1134"/>
            <w:shd w:val="clear" w:color="auto" w:fill="C5CAE9"/>
          </w:tcPr>
          <w:p>
            <w:pPr>
              <w:jc w:val="center"/>
            </w:pPr>
            <w:r>
              <w:rPr>
                <w:sz w:val="18"/>
              </w:rPr>
              <w:t>0.1</w:t>
            </w:r>
          </w:p>
        </w:tc>
        <w:tc>
          <w:tcPr>
            <w:tcW w:type="dxa" w:w="1134"/>
            <w:shd w:val="clear" w:color="auto" w:fill="C5CAE9"/>
          </w:tcPr>
          <w:p>
            <w:pPr>
              <w:jc w:val="center"/>
            </w:pPr>
            <w:r>
              <w:rPr>
                <w:sz w:val="18"/>
              </w:rPr>
              <w:t>-0.1</w:t>
            </w:r>
          </w:p>
        </w:tc>
        <w:tc>
          <w:tcPr>
            <w:tcW w:type="dxa" w:w="1134"/>
            <w:shd w:val="clear" w:color="auto" w:fill="C5CAE9"/>
          </w:tcPr>
          <w:p>
            <w:pPr>
              <w:jc w:val="center"/>
            </w:pPr>
            <w:r>
              <w:rPr>
                <w:sz w:val="18"/>
              </w:rPr>
              <w:t>0.2</w:t>
            </w:r>
          </w:p>
        </w:tc>
        <w:tc>
          <w:tcPr>
            <w:tcW w:type="dxa" w:w="1134"/>
            <w:shd w:val="clear" w:color="auto" w:fill="C5CAE9"/>
          </w:tcPr>
          <w:p>
            <w:pPr>
              <w:jc w:val="center"/>
            </w:pPr>
            <w:r>
              <w:rPr>
                <w:sz w:val="18"/>
              </w:rPr>
              <w:t>2.65</w:t>
            </w:r>
          </w:p>
        </w:tc>
        <w:tc>
          <w:tcPr>
            <w:tcW w:type="dxa" w:w="1134"/>
            <w:shd w:val="clear" w:color="auto" w:fill="C5CAE9"/>
          </w:tcPr>
          <w:p>
            <w:pPr>
              <w:jc w:val="center"/>
            </w:pPr>
            <w:r>
              <w:rPr>
                <w:sz w:val="18"/>
              </w:rPr>
              <w:t>2.78</w:t>
            </w:r>
          </w:p>
        </w:tc>
      </w:tr>
      <w:tr>
        <w:tc>
          <w:tcPr>
            <w:tcW w:type="dxa" w:w="1134"/>
          </w:tcPr>
          <w:p>
            <w:pPr>
              <w:jc w:val="center"/>
            </w:pPr>
            <w:r>
              <w:rPr>
                <w:sz w:val="18"/>
              </w:rPr>
              <w:t>2022.0</w:t>
            </w:r>
          </w:p>
        </w:tc>
        <w:tc>
          <w:tcPr>
            <w:tcW w:type="dxa" w:w="1134"/>
          </w:tcPr>
          <w:p>
            <w:pPr>
              <w:jc w:val="center"/>
            </w:pPr>
            <w:r>
              <w:rPr>
                <w:sz w:val="18"/>
              </w:rPr>
              <w:t>109.82</w:t>
            </w:r>
          </w:p>
        </w:tc>
        <w:tc>
          <w:tcPr>
            <w:tcW w:type="dxa" w:w="1134"/>
          </w:tcPr>
          <w:p>
            <w:pPr>
              <w:jc w:val="center"/>
            </w:pPr>
            <w:r>
              <w:rPr>
                <w:sz w:val="18"/>
              </w:rPr>
              <w:t>131.45</w:t>
            </w:r>
          </w:p>
        </w:tc>
        <w:tc>
          <w:tcPr>
            <w:tcW w:type="dxa" w:w="1134"/>
          </w:tcPr>
          <w:p>
            <w:pPr>
              <w:jc w:val="center"/>
            </w:pPr>
            <w:r>
              <w:rPr>
                <w:sz w:val="18"/>
              </w:rPr>
              <w:t>0.1</w:t>
            </w:r>
          </w:p>
        </w:tc>
        <w:tc>
          <w:tcPr>
            <w:tcW w:type="dxa" w:w="1134"/>
          </w:tcPr>
          <w:p>
            <w:pPr>
              <w:jc w:val="center"/>
            </w:pPr>
            <w:r>
              <w:rPr>
                <w:sz w:val="18"/>
              </w:rPr>
              <w:t>-0.1</w:t>
            </w:r>
          </w:p>
        </w:tc>
        <w:tc>
          <w:tcPr>
            <w:tcW w:type="dxa" w:w="1134"/>
          </w:tcPr>
          <w:p>
            <w:pPr>
              <w:jc w:val="center"/>
            </w:pPr>
            <w:r>
              <w:rPr>
                <w:sz w:val="18"/>
              </w:rPr>
              <w:t>0.2</w:t>
            </w:r>
          </w:p>
        </w:tc>
        <w:tc>
          <w:tcPr>
            <w:tcW w:type="dxa" w:w="1134"/>
          </w:tcPr>
          <w:p>
            <w:pPr>
              <w:jc w:val="center"/>
            </w:pPr>
            <w:r>
              <w:rPr>
                <w:sz w:val="18"/>
              </w:rPr>
              <w:t>19.7</w:t>
            </w:r>
          </w:p>
        </w:tc>
        <w:tc>
          <w:tcPr>
            <w:tcW w:type="dxa" w:w="1134"/>
          </w:tcPr>
          <w:p>
            <w:pPr>
              <w:jc w:val="center"/>
            </w:pPr>
            <w:r>
              <w:rPr>
                <w:sz w:val="18"/>
              </w:rPr>
              <w:t>16.64</w:t>
            </w:r>
          </w:p>
        </w:tc>
      </w:tr>
      <w:tr>
        <w:tc>
          <w:tcPr>
            <w:tcW w:type="dxa" w:w="1134"/>
            <w:shd w:val="clear" w:color="auto" w:fill="C5CAE9"/>
          </w:tcPr>
          <w:p>
            <w:pPr>
              <w:jc w:val="center"/>
            </w:pPr>
            <w:r>
              <w:rPr>
                <w:sz w:val="18"/>
              </w:rPr>
              <w:t>2023.0</w:t>
            </w:r>
          </w:p>
        </w:tc>
        <w:tc>
          <w:tcPr>
            <w:tcW w:type="dxa" w:w="1134"/>
            <w:shd w:val="clear" w:color="auto" w:fill="C5CAE9"/>
          </w:tcPr>
          <w:p>
            <w:pPr>
              <w:jc w:val="center"/>
            </w:pPr>
            <w:r>
              <w:rPr>
                <w:sz w:val="18"/>
              </w:rPr>
              <w:t>131.45</w:t>
            </w:r>
          </w:p>
        </w:tc>
        <w:tc>
          <w:tcPr>
            <w:tcW w:type="dxa" w:w="1134"/>
            <w:shd w:val="clear" w:color="auto" w:fill="C5CAE9"/>
          </w:tcPr>
          <w:p>
            <w:pPr>
              <w:jc w:val="center"/>
            </w:pPr>
            <w:r>
              <w:rPr>
                <w:sz w:val="18"/>
              </w:rPr>
              <w:t>140.51</w:t>
            </w:r>
          </w:p>
        </w:tc>
        <w:tc>
          <w:tcPr>
            <w:tcW w:type="dxa" w:w="1134"/>
            <w:shd w:val="clear" w:color="auto" w:fill="C5CAE9"/>
          </w:tcPr>
          <w:p>
            <w:pPr>
              <w:jc w:val="center"/>
            </w:pPr>
            <w:r>
              <w:rPr>
                <w:sz w:val="18"/>
              </w:rPr>
              <w:t>4.33</w:t>
            </w:r>
          </w:p>
        </w:tc>
        <w:tc>
          <w:tcPr>
            <w:tcW w:type="dxa" w:w="1134"/>
            <w:shd w:val="clear" w:color="auto" w:fill="C5CAE9"/>
          </w:tcPr>
          <w:p>
            <w:pPr>
              <w:jc w:val="center"/>
            </w:pPr>
            <w:r>
              <w:rPr>
                <w:sz w:val="18"/>
              </w:rPr>
              <w:t>-0.1</w:t>
            </w:r>
          </w:p>
        </w:tc>
        <w:tc>
          <w:tcPr>
            <w:tcW w:type="dxa" w:w="1134"/>
            <w:shd w:val="clear" w:color="auto" w:fill="C5CAE9"/>
          </w:tcPr>
          <w:p>
            <w:pPr>
              <w:jc w:val="center"/>
            </w:pPr>
            <w:r>
              <w:rPr>
                <w:sz w:val="18"/>
              </w:rPr>
              <w:t>4.43</w:t>
            </w:r>
          </w:p>
        </w:tc>
        <w:tc>
          <w:tcPr>
            <w:tcW w:type="dxa" w:w="1134"/>
            <w:shd w:val="clear" w:color="auto" w:fill="C5CAE9"/>
          </w:tcPr>
          <w:p>
            <w:pPr>
              <w:jc w:val="center"/>
            </w:pPr>
            <w:r>
              <w:rPr>
                <w:sz w:val="18"/>
              </w:rPr>
              <w:t>6.89</w:t>
            </w:r>
          </w:p>
        </w:tc>
        <w:tc>
          <w:tcPr>
            <w:tcW w:type="dxa" w:w="1134"/>
            <w:shd w:val="clear" w:color="auto" w:fill="C5CAE9"/>
          </w:tcPr>
          <w:p>
            <w:pPr>
              <w:jc w:val="center"/>
            </w:pPr>
            <w:r>
              <w:rPr>
                <w:sz w:val="18"/>
              </w:rPr>
              <w:t>10.87</w:t>
            </w:r>
          </w:p>
        </w:tc>
      </w:tr>
      <w:tr>
        <w:tc>
          <w:tcPr>
            <w:tcW w:type="dxa" w:w="1134"/>
          </w:tcPr>
          <w:p>
            <w:pPr>
              <w:jc w:val="center"/>
            </w:pPr>
            <w:r>
              <w:rPr>
                <w:sz w:val="18"/>
              </w:rPr>
              <w:t>2024.0</w:t>
            </w:r>
          </w:p>
        </w:tc>
        <w:tc>
          <w:tcPr>
            <w:tcW w:type="dxa" w:w="1134"/>
          </w:tcPr>
          <w:p>
            <w:pPr>
              <w:jc w:val="center"/>
            </w:pPr>
            <w:r>
              <w:rPr>
                <w:sz w:val="18"/>
              </w:rPr>
              <w:t>140.51</w:t>
            </w:r>
          </w:p>
        </w:tc>
        <w:tc>
          <w:tcPr>
            <w:tcW w:type="dxa" w:w="1134"/>
          </w:tcPr>
          <w:p>
            <w:pPr>
              <w:jc w:val="center"/>
            </w:pPr>
            <w:r>
              <w:rPr>
                <w:sz w:val="18"/>
              </w:rPr>
              <w:t>151.35</w:t>
            </w:r>
          </w:p>
        </w:tc>
        <w:tc>
          <w:tcPr>
            <w:tcW w:type="dxa" w:w="1134"/>
          </w:tcPr>
          <w:p>
            <w:pPr>
              <w:jc w:val="center"/>
            </w:pPr>
            <w:r>
              <w:rPr>
                <w:sz w:val="18"/>
              </w:rPr>
              <w:t>5.33</w:t>
            </w:r>
          </w:p>
        </w:tc>
        <w:tc>
          <w:tcPr>
            <w:tcW w:type="dxa" w:w="1134"/>
          </w:tcPr>
          <w:p>
            <w:pPr>
              <w:jc w:val="center"/>
            </w:pPr>
            <w:r>
              <w:rPr>
                <w:sz w:val="18"/>
              </w:rPr>
              <w:t>-0.1</w:t>
            </w:r>
          </w:p>
        </w:tc>
        <w:tc>
          <w:tcPr>
            <w:tcW w:type="dxa" w:w="1134"/>
          </w:tcPr>
          <w:p>
            <w:pPr>
              <w:jc w:val="center"/>
            </w:pPr>
            <w:r>
              <w:rPr>
                <w:sz w:val="18"/>
              </w:rPr>
              <w:t>5.43</w:t>
            </w:r>
          </w:p>
        </w:tc>
        <w:tc>
          <w:tcPr>
            <w:tcW w:type="dxa" w:w="1134"/>
          </w:tcPr>
          <w:p>
            <w:pPr>
              <w:jc w:val="center"/>
            </w:pPr>
            <w:r>
              <w:rPr>
                <w:sz w:val="18"/>
              </w:rPr>
              <w:t>7.71</w:t>
            </w:r>
          </w:p>
        </w:tc>
        <w:tc>
          <w:tcPr>
            <w:tcW w:type="dxa" w:w="1134"/>
          </w:tcPr>
          <w:p>
            <w:pPr>
              <w:jc w:val="center"/>
            </w:pPr>
            <w:r>
              <w:rPr>
                <w:sz w:val="18"/>
              </w:rPr>
              <w:t>12.59</w:t>
            </w:r>
          </w:p>
        </w:tc>
      </w:tr>
      <w:tr>
        <w:tc>
          <w:tcPr>
            <w:tcW w:type="dxa" w:w="1134"/>
            <w:shd w:val="clear" w:color="auto" w:fill="C5CAE9"/>
          </w:tcPr>
          <w:p>
            <w:pPr>
              <w:jc w:val="center"/>
            </w:pPr>
            <w:r>
              <w:rPr>
                <w:sz w:val="18"/>
              </w:rPr>
              <w:t>2025.0</w:t>
            </w:r>
          </w:p>
        </w:tc>
        <w:tc>
          <w:tcPr>
            <w:tcW w:type="dxa" w:w="1134"/>
            <w:shd w:val="clear" w:color="auto" w:fill="C5CAE9"/>
          </w:tcPr>
          <w:p>
            <w:pPr>
              <w:jc w:val="center"/>
            </w:pPr>
            <w:r>
              <w:rPr>
                <w:sz w:val="18"/>
              </w:rPr>
              <w:t>151.35</w:t>
            </w:r>
          </w:p>
        </w:tc>
        <w:tc>
          <w:tcPr>
            <w:tcW w:type="dxa" w:w="1134"/>
            <w:shd w:val="clear" w:color="auto" w:fill="C5CAE9"/>
          </w:tcPr>
          <w:p>
            <w:pPr>
              <w:jc w:val="center"/>
            </w:pPr>
            <w:r>
              <w:rPr>
                <w:sz w:val="18"/>
              </w:rPr>
              <w:t>149.63</w:t>
            </w:r>
          </w:p>
        </w:tc>
        <w:tc>
          <w:tcPr>
            <w:tcW w:type="dxa" w:w="1134"/>
            <w:shd w:val="clear" w:color="auto" w:fill="C5CAE9"/>
          </w:tcPr>
          <w:p>
            <w:pPr>
              <w:jc w:val="center"/>
            </w:pPr>
            <w:r>
              <w:rPr>
                <w:sz w:val="18"/>
              </w:rPr>
              <w:t>4.5</w:t>
            </w:r>
          </w:p>
        </w:tc>
        <w:tc>
          <w:tcPr>
            <w:tcW w:type="dxa" w:w="1134"/>
            <w:shd w:val="clear" w:color="auto" w:fill="C5CAE9"/>
          </w:tcPr>
          <w:p>
            <w:pPr>
              <w:jc w:val="center"/>
            </w:pPr>
            <w:r>
              <w:rPr>
                <w:sz w:val="18"/>
              </w:rPr>
              <w:t>0.25</w:t>
            </w:r>
          </w:p>
        </w:tc>
        <w:tc>
          <w:tcPr>
            <w:tcW w:type="dxa" w:w="1134"/>
            <w:shd w:val="clear" w:color="auto" w:fill="C5CAE9"/>
          </w:tcPr>
          <w:p>
            <w:pPr>
              <w:jc w:val="center"/>
            </w:pPr>
            <w:r>
              <w:rPr>
                <w:sz w:val="18"/>
              </w:rPr>
              <w:t>4.25</w:t>
            </w:r>
          </w:p>
        </w:tc>
        <w:tc>
          <w:tcPr>
            <w:tcW w:type="dxa" w:w="1134"/>
            <w:shd w:val="clear" w:color="auto" w:fill="C5CAE9"/>
          </w:tcPr>
          <w:p>
            <w:pPr>
              <w:jc w:val="center"/>
            </w:pPr>
            <w:r>
              <w:rPr>
                <w:sz w:val="18"/>
              </w:rPr>
              <w:t>-1.14</w:t>
            </w:r>
          </w:p>
        </w:tc>
        <w:tc>
          <w:tcPr>
            <w:tcW w:type="dxa" w:w="1134"/>
            <w:shd w:val="clear" w:color="auto" w:fill="C5CAE9"/>
          </w:tcPr>
          <w:p>
            <w:pPr>
              <w:jc w:val="center"/>
            </w:pPr>
            <w:r>
              <w:rPr>
                <w:sz w:val="18"/>
              </w:rPr>
              <w:t>3.1</w:t>
            </w:r>
          </w:p>
        </w:tc>
      </w:tr>
      <w:tr>
        <w:tc>
          <w:tcPr>
            <w:tcW w:type="dxa" w:w="1134"/>
          </w:tcPr>
          <w:p>
            <w:pPr>
              <w:jc w:val="center"/>
            </w:pPr>
            <w:r>
              <w:rPr>
                <w:sz w:val="18"/>
              </w:rPr>
              <w:t>2026.0</w:t>
            </w:r>
          </w:p>
        </w:tc>
        <w:tc>
          <w:tcPr>
            <w:tcW w:type="dxa" w:w="1134"/>
          </w:tcPr>
          <w:p>
            <w:pPr>
              <w:jc w:val="center"/>
            </w:pPr>
            <w:r>
              <w:rPr>
                <w:sz w:val="18"/>
              </w:rPr>
              <w:t>149.63</w:t>
            </w:r>
          </w:p>
        </w:tc>
        <w:tc>
          <w:tcPr>
            <w:tcW w:type="dxa" w:w="1134"/>
          </w:tcPr>
          <w:p>
            <w:pPr>
              <w:jc w:val="center"/>
            </w:pPr>
            <w:r>
              <w:rPr>
                <w:sz w:val="18"/>
              </w:rPr>
              <w:t>157.5</w:t>
            </w:r>
          </w:p>
        </w:tc>
        <w:tc>
          <w:tcPr>
            <w:tcW w:type="dxa" w:w="1134"/>
          </w:tcPr>
          <w:p>
            <w:pPr>
              <w:jc w:val="center"/>
            </w:pPr>
            <w:r>
              <w:rPr>
                <w:sz w:val="18"/>
              </w:rPr>
              <w:t>4.0</w:t>
            </w:r>
          </w:p>
        </w:tc>
        <w:tc>
          <w:tcPr>
            <w:tcW w:type="dxa" w:w="1134"/>
          </w:tcPr>
          <w:p>
            <w:pPr>
              <w:jc w:val="center"/>
            </w:pPr>
            <w:r>
              <w:rPr>
                <w:sz w:val="18"/>
              </w:rPr>
              <w:t>0.75</w:t>
            </w:r>
          </w:p>
        </w:tc>
        <w:tc>
          <w:tcPr>
            <w:tcW w:type="dxa" w:w="1134"/>
          </w:tcPr>
          <w:p>
            <w:pPr>
              <w:jc w:val="center"/>
            </w:pPr>
            <w:r>
              <w:rPr>
                <w:sz w:val="18"/>
              </w:rPr>
              <w:t>3.25</w:t>
            </w:r>
          </w:p>
        </w:tc>
        <w:tc>
          <w:tcPr>
            <w:tcW w:type="dxa" w:w="1134"/>
          </w:tcPr>
          <w:p>
            <w:pPr>
              <w:jc w:val="center"/>
            </w:pPr>
            <w:r>
              <w:rPr>
                <w:sz w:val="18"/>
              </w:rPr>
              <w:t>5.26</w:t>
            </w:r>
          </w:p>
        </w:tc>
        <w:tc>
          <w:tcPr>
            <w:tcW w:type="dxa" w:w="1134"/>
          </w:tcPr>
          <w:p>
            <w:pPr>
              <w:jc w:val="center"/>
            </w:pPr>
            <w:r>
              <w:rPr>
                <w:sz w:val="18"/>
              </w:rPr>
              <w:t>8.28</w:t>
            </w:r>
          </w:p>
        </w:tc>
      </w:tr>
    </w:tbl>
    <w:p/>
    <w:p>
      <w:pPr>
        <w:jc w:val="center"/>
      </w:pPr>
      <w:r>
        <w:drawing>
          <wp:inline xmlns:a="http://schemas.openxmlformats.org/drawingml/2006/main" xmlns:pic="http://schemas.openxmlformats.org/drawingml/2006/picture">
            <wp:extent cx="5669280" cy="2801775"/>
            <wp:docPr id="1" name="Picture 1"/>
            <wp:cNvGraphicFramePr>
              <a:graphicFrameLocks noChangeAspect="1"/>
            </wp:cNvGraphicFramePr>
            <a:graphic>
              <a:graphicData uri="http://schemas.openxmlformats.org/drawingml/2006/picture">
                <pic:pic>
                  <pic:nvPicPr>
                    <pic:cNvPr id="0" name="jpy_01_carry_and_fx.png"/>
                    <pic:cNvPicPr/>
                  </pic:nvPicPr>
                  <pic:blipFill>
                    <a:blip r:embed="rId9"/>
                    <a:stretch>
                      <a:fillRect/>
                    </a:stretch>
                  </pic:blipFill>
                  <pic:spPr>
                    <a:xfrm>
                      <a:off x="0" y="0"/>
                      <a:ext cx="5669280" cy="2801775"/>
                    </a:xfrm>
                    <a:prstGeom prst="rect"/>
                  </pic:spPr>
                </pic:pic>
              </a:graphicData>
            </a:graphic>
          </wp:inline>
        </w:drawing>
      </w:r>
    </w:p>
    <w:p>
      <w:r>
        <w:br w:type="page"/>
      </w:r>
    </w:p>
    <w:p>
      <w:pPr>
        <w:pStyle w:val="Heading1"/>
      </w:pPr>
      <w:r>
        <w:t>5. Net P&amp;L by Year</w:t>
      </w:r>
    </w:p>
    <w:p>
      <w:pPr>
        <w:jc w:val="center"/>
      </w:pPr>
      <w:r>
        <w:drawing>
          <wp:inline xmlns:a="http://schemas.openxmlformats.org/drawingml/2006/main" xmlns:pic="http://schemas.openxmlformats.org/drawingml/2006/picture">
            <wp:extent cx="5669280" cy="2801775"/>
            <wp:docPr id="2" name="Picture 2"/>
            <wp:cNvGraphicFramePr>
              <a:graphicFrameLocks noChangeAspect="1"/>
            </wp:cNvGraphicFramePr>
            <a:graphic>
              <a:graphicData uri="http://schemas.openxmlformats.org/drawingml/2006/picture">
                <pic:pic>
                  <pic:nvPicPr>
                    <pic:cNvPr id="0" name="jpy_02_net_pnl.png"/>
                    <pic:cNvPicPr/>
                  </pic:nvPicPr>
                  <pic:blipFill>
                    <a:blip r:embed="rId10"/>
                    <a:stretch>
                      <a:fillRect/>
                    </a:stretch>
                  </pic:blipFill>
                  <pic:spPr>
                    <a:xfrm>
                      <a:off x="0" y="0"/>
                      <a:ext cx="5669280" cy="2801775"/>
                    </a:xfrm>
                    <a:prstGeom prst="rect"/>
                  </pic:spPr>
                </pic:pic>
              </a:graphicData>
            </a:graphic>
          </wp:inline>
        </w:drawing>
      </w:r>
    </w:p>
    <w:p>
      <w:r>
        <w:t>The trade was profitable in 7 out of 10 years. The three loss years (2017, 2019, 2020) were driven by JPY strengthening during risk-off episodes. The massive gains in 2022 reflect the historic JPY sell-off as the Fed hiked aggressively while BOJ stayed at -0.10%.</w:t>
      </w:r>
    </w:p>
    <w:p>
      <w:r>
        <w:br w:type="page"/>
      </w:r>
    </w:p>
    <w:p>
      <w:pPr>
        <w:pStyle w:val="Heading1"/>
      </w:pPr>
      <w:r>
        <w:t>6. Cumulative Return Analysis</w:t>
      </w:r>
    </w:p>
    <w:p>
      <w:pPr>
        <w:jc w:val="center"/>
      </w:pPr>
      <w:r>
        <w:drawing>
          <wp:inline xmlns:a="http://schemas.openxmlformats.org/drawingml/2006/main" xmlns:pic="http://schemas.openxmlformats.org/drawingml/2006/picture">
            <wp:extent cx="5669280" cy="2822238"/>
            <wp:docPr id="3" name="Picture 3"/>
            <wp:cNvGraphicFramePr>
              <a:graphicFrameLocks noChangeAspect="1"/>
            </wp:cNvGraphicFramePr>
            <a:graphic>
              <a:graphicData uri="http://schemas.openxmlformats.org/drawingml/2006/picture">
                <pic:pic>
                  <pic:nvPicPr>
                    <pic:cNvPr id="0" name="jpy_03_cumulative.png"/>
                    <pic:cNvPicPr/>
                  </pic:nvPicPr>
                  <pic:blipFill>
                    <a:blip r:embed="rId11"/>
                    <a:stretch>
                      <a:fillRect/>
                    </a:stretch>
                  </pic:blipFill>
                  <pic:spPr>
                    <a:xfrm>
                      <a:off x="0" y="0"/>
                      <a:ext cx="5669280" cy="2822238"/>
                    </a:xfrm>
                    <a:prstGeom prst="rect"/>
                  </pic:spPr>
                </pic:pic>
              </a:graphicData>
            </a:graphic>
          </wp:inline>
        </w:drawing>
      </w:r>
    </w:p>
    <w:p>
      <w:r>
        <w:t>A $1 investment in 2016 would be worth $1.744 by 2026 — a cumulative gain of 74.4%. This dramatically outperforms the INR carry trade, which lost money over the same period.</w:t>
      </w:r>
    </w:p>
    <w:p>
      <w:r>
        <w:br w:type="page"/>
      </w:r>
    </w:p>
    <w:p>
      <w:pPr>
        <w:pStyle w:val="Heading1"/>
      </w:pPr>
      <w:r>
        <w:t>7. Interest Rate Environment</w:t>
      </w:r>
    </w:p>
    <w:p>
      <w:pPr>
        <w:jc w:val="center"/>
      </w:pPr>
      <w:r>
        <w:drawing>
          <wp:inline xmlns:a="http://schemas.openxmlformats.org/drawingml/2006/main" xmlns:pic="http://schemas.openxmlformats.org/drawingml/2006/picture">
            <wp:extent cx="5669280" cy="4029541"/>
            <wp:docPr id="4" name="Picture 4"/>
            <wp:cNvGraphicFramePr>
              <a:graphicFrameLocks noChangeAspect="1"/>
            </wp:cNvGraphicFramePr>
            <a:graphic>
              <a:graphicData uri="http://schemas.openxmlformats.org/drawingml/2006/picture">
                <pic:pic>
                  <pic:nvPicPr>
                    <pic:cNvPr id="0" name="jpy_04_interest_rates.png"/>
                    <pic:cNvPicPr/>
                  </pic:nvPicPr>
                  <pic:blipFill>
                    <a:blip r:embed="rId12"/>
                    <a:stretch>
                      <a:fillRect/>
                    </a:stretch>
                  </pic:blipFill>
                  <pic:spPr>
                    <a:xfrm>
                      <a:off x="0" y="0"/>
                      <a:ext cx="5669280" cy="4029541"/>
                    </a:xfrm>
                    <a:prstGeom prst="rect"/>
                  </pic:spPr>
                </pic:pic>
              </a:graphicData>
            </a:graphic>
          </wp:inline>
        </w:drawing>
      </w:r>
    </w:p>
    <w:p>
      <w:r>
        <w:t>The US-Japan rate differential widened dramatically from 0.60% in 2016 to 5.43% in 2023, driven entirely by Fed hikes while BOJ stayed negative. This is the opposite dynamic to the INR trade, where the differential compressed. BOJ's recent hikes to 0.75% are only beginning to narrow the gap.</w:t>
      </w:r>
    </w:p>
    <w:p>
      <w:r>
        <w:br w:type="page"/>
      </w:r>
    </w:p>
    <w:p>
      <w:pPr>
        <w:pStyle w:val="Heading1"/>
      </w:pPr>
      <w:r>
        <w:t>8. Currency Trend Analysis</w:t>
      </w:r>
    </w:p>
    <w:p>
      <w:pPr>
        <w:jc w:val="center"/>
      </w:pPr>
      <w:r>
        <w:drawing>
          <wp:inline xmlns:a="http://schemas.openxmlformats.org/drawingml/2006/main" xmlns:pic="http://schemas.openxmlformats.org/drawingml/2006/picture">
            <wp:extent cx="5669280" cy="2801775"/>
            <wp:docPr id="5" name="Picture 5"/>
            <wp:cNvGraphicFramePr>
              <a:graphicFrameLocks noChangeAspect="1"/>
            </wp:cNvGraphicFramePr>
            <a:graphic>
              <a:graphicData uri="http://schemas.openxmlformats.org/drawingml/2006/picture">
                <pic:pic>
                  <pic:nvPicPr>
                    <pic:cNvPr id="0" name="jpy_05_usdjpy_trend.png"/>
                    <pic:cNvPicPr/>
                  </pic:nvPicPr>
                  <pic:blipFill>
                    <a:blip r:embed="rId13"/>
                    <a:stretch>
                      <a:fillRect/>
                    </a:stretch>
                  </pic:blipFill>
                  <pic:spPr>
                    <a:xfrm>
                      <a:off x="0" y="0"/>
                      <a:ext cx="5669280" cy="2801775"/>
                    </a:xfrm>
                    <a:prstGeom prst="rect"/>
                  </pic:spPr>
                </pic:pic>
              </a:graphicData>
            </a:graphic>
          </wp:inline>
        </w:drawing>
      </w:r>
    </w:p>
    <w:p>
      <w:r>
        <w:t>USDJPY rose from ~109 in 2016 to ~158 in 2026 — a 45% JPY depreciation. Unlike INR depreciation (which hurt the carry trader), JPY depreciation added a massive FX tailwind on top of the interest rate carry. The 2022 move from 110 to 131 was one of the largest annual JPY moves in history.</w:t>
      </w:r>
    </w:p>
    <w:p>
      <w:r>
        <w:br w:type="page"/>
      </w:r>
    </w:p>
    <w:p>
      <w:pPr>
        <w:pStyle w:val="Heading1"/>
      </w:pPr>
      <w:r>
        <w:t>9. Inflation &amp; PPP Anomaly</w:t>
      </w:r>
    </w:p>
    <w:p>
      <w:pPr>
        <w:jc w:val="center"/>
      </w:pPr>
      <w:r>
        <w:drawing>
          <wp:inline xmlns:a="http://schemas.openxmlformats.org/drawingml/2006/main" xmlns:pic="http://schemas.openxmlformats.org/drawingml/2006/picture">
            <wp:extent cx="5669280" cy="2801775"/>
            <wp:docPr id="6" name="Picture 6"/>
            <wp:cNvGraphicFramePr>
              <a:graphicFrameLocks noChangeAspect="1"/>
            </wp:cNvGraphicFramePr>
            <a:graphic>
              <a:graphicData uri="http://schemas.openxmlformats.org/drawingml/2006/picture">
                <pic:pic>
                  <pic:nvPicPr>
                    <pic:cNvPr id="0" name="jpy_06_inflation_vs_fx.png"/>
                    <pic:cNvPicPr/>
                  </pic:nvPicPr>
                  <pic:blipFill>
                    <a:blip r:embed="rId14"/>
                    <a:stretch>
                      <a:fillRect/>
                    </a:stretch>
                  </pic:blipFill>
                  <pic:spPr>
                    <a:xfrm>
                      <a:off x="0" y="0"/>
                      <a:ext cx="5669280" cy="2801775"/>
                    </a:xfrm>
                    <a:prstGeom prst="rect"/>
                  </pic:spPr>
                </pic:pic>
              </a:graphicData>
            </a:graphic>
          </wp:inline>
        </w:drawing>
      </w:r>
    </w:p>
    <w:p>
      <w:r>
        <w:t>Here lies a major PPP anomaly: US inflation has been HIGHER than Japan's for most of this period. PPP theory predicts the USD should weaken (USDJPY should fall). Instead, USDJPY rose dramatically. This is because interest rate differentials and capital flows dominated PPP forces — a key reason the JPY carry trade has worked so well. PPP takes decades to assert itself; in the medium term, rate differentials drive FX.</w:t>
      </w:r>
    </w:p>
    <w:p>
      <w:r>
        <w:br w:type="page"/>
      </w:r>
    </w:p>
    <w:p>
      <w:pPr>
        <w:pStyle w:val="Heading1"/>
      </w:pPr>
      <w:r>
        <w:t>10. Risk Metrics</w:t>
      </w:r>
    </w:p>
    <w:tbl>
      <w:tblPr>
        <w:tblStyle w:val="TableGrid"/>
        <w:tblW w:type="auto" w:w="0"/>
        <w:jc w:val="center"/>
        <w:tblLook w:firstColumn="1" w:firstRow="1" w:lastColumn="0" w:lastRow="0" w:noHBand="0" w:noVBand="1" w:val="04A0"/>
      </w:tblPr>
      <w:tblGrid>
        <w:gridCol w:w="4536"/>
        <w:gridCol w:w="4536"/>
      </w:tblGrid>
      <w:tr>
        <w:tc>
          <w:tcPr>
            <w:tcW w:type="dxa" w:w="4536"/>
            <w:shd w:val="clear" w:color="auto" w:fill="1B5E20"/>
          </w:tcPr>
          <w:p>
            <w:pPr>
              <w:jc w:val="center"/>
            </w:pPr>
            <w:r>
              <w:rPr>
                <w:b/>
                <w:color w:val="FFFFFF"/>
                <w:sz w:val="18"/>
              </w:rPr>
              <w:t>Metric</w:t>
            </w:r>
          </w:p>
        </w:tc>
        <w:tc>
          <w:tcPr>
            <w:tcW w:type="dxa" w:w="4536"/>
            <w:shd w:val="clear" w:color="auto" w:fill="1B5E20"/>
          </w:tcPr>
          <w:p>
            <w:pPr>
              <w:jc w:val="center"/>
            </w:pPr>
            <w:r>
              <w:rPr>
                <w:b/>
                <w:color w:val="FFFFFF"/>
                <w:sz w:val="18"/>
              </w:rPr>
              <w:t>Value</w:t>
            </w:r>
          </w:p>
        </w:tc>
      </w:tr>
      <w:tr>
        <w:tc>
          <w:tcPr>
            <w:tcW w:type="dxa" w:w="4536"/>
            <w:shd w:val="clear" w:color="auto" w:fill="C8E6C9"/>
          </w:tcPr>
          <w:p>
            <w:pPr>
              <w:jc w:val="center"/>
            </w:pPr>
            <w:r>
              <w:rPr>
                <w:sz w:val="18"/>
              </w:rPr>
              <w:t>Period</w:t>
            </w:r>
          </w:p>
        </w:tc>
        <w:tc>
          <w:tcPr>
            <w:tcW w:type="dxa" w:w="4536"/>
            <w:shd w:val="clear" w:color="auto" w:fill="C8E6C9"/>
          </w:tcPr>
          <w:p>
            <w:pPr>
              <w:jc w:val="center"/>
            </w:pPr>
            <w:r>
              <w:rPr>
                <w:sz w:val="18"/>
              </w:rPr>
              <w:t>2017-2026</w:t>
            </w:r>
          </w:p>
        </w:tc>
      </w:tr>
      <w:tr>
        <w:tc>
          <w:tcPr>
            <w:tcW w:type="dxa" w:w="4536"/>
          </w:tcPr>
          <w:p>
            <w:pPr>
              <w:jc w:val="center"/>
            </w:pPr>
            <w:r>
              <w:rPr>
                <w:sz w:val="18"/>
              </w:rPr>
              <w:t>Number of Years</w:t>
            </w:r>
          </w:p>
        </w:tc>
        <w:tc>
          <w:tcPr>
            <w:tcW w:type="dxa" w:w="4536"/>
          </w:tcPr>
          <w:p>
            <w:pPr>
              <w:jc w:val="center"/>
            </w:pPr>
            <w:r>
              <w:rPr>
                <w:sz w:val="18"/>
              </w:rPr>
              <w:t>10</w:t>
            </w:r>
          </w:p>
        </w:tc>
      </w:tr>
      <w:tr>
        <w:tc>
          <w:tcPr>
            <w:tcW w:type="dxa" w:w="4536"/>
            <w:shd w:val="clear" w:color="auto" w:fill="C8E6C9"/>
          </w:tcPr>
          <w:p>
            <w:pPr>
              <w:jc w:val="center"/>
            </w:pPr>
            <w:r>
              <w:rPr>
                <w:sz w:val="18"/>
              </w:rPr>
              <w:t>Average Annual Return (%)</w:t>
            </w:r>
          </w:p>
        </w:tc>
        <w:tc>
          <w:tcPr>
            <w:tcW w:type="dxa" w:w="4536"/>
            <w:shd w:val="clear" w:color="auto" w:fill="C8E6C9"/>
          </w:tcPr>
          <w:p>
            <w:pPr>
              <w:jc w:val="center"/>
            </w:pPr>
            <w:r>
              <w:rPr>
                <w:sz w:val="18"/>
              </w:rPr>
              <w:t>5.86</w:t>
            </w:r>
          </w:p>
        </w:tc>
      </w:tr>
      <w:tr>
        <w:tc>
          <w:tcPr>
            <w:tcW w:type="dxa" w:w="4536"/>
          </w:tcPr>
          <w:p>
            <w:pPr>
              <w:jc w:val="center"/>
            </w:pPr>
            <w:r>
              <w:rPr>
                <w:sz w:val="18"/>
              </w:rPr>
              <w:t>Std Dev of Returns (%)</w:t>
            </w:r>
          </w:p>
        </w:tc>
        <w:tc>
          <w:tcPr>
            <w:tcW w:type="dxa" w:w="4536"/>
          </w:tcPr>
          <w:p>
            <w:pPr>
              <w:jc w:val="center"/>
            </w:pPr>
            <w:r>
              <w:rPr>
                <w:sz w:val="18"/>
              </w:rPr>
              <w:t>5.87</w:t>
            </w:r>
          </w:p>
        </w:tc>
      </w:tr>
      <w:tr>
        <w:tc>
          <w:tcPr>
            <w:tcW w:type="dxa" w:w="4536"/>
            <w:shd w:val="clear" w:color="auto" w:fill="C8E6C9"/>
          </w:tcPr>
          <w:p>
            <w:pPr>
              <w:jc w:val="center"/>
            </w:pPr>
            <w:r>
              <w:rPr>
                <w:sz w:val="18"/>
              </w:rPr>
              <w:t>Sharpe Ratio (no risk-free adj)</w:t>
            </w:r>
          </w:p>
        </w:tc>
        <w:tc>
          <w:tcPr>
            <w:tcW w:type="dxa" w:w="4536"/>
            <w:shd w:val="clear" w:color="auto" w:fill="C8E6C9"/>
          </w:tcPr>
          <w:p>
            <w:pPr>
              <w:jc w:val="center"/>
            </w:pPr>
            <w:r>
              <w:rPr>
                <w:sz w:val="18"/>
              </w:rPr>
              <w:t>1</w:t>
            </w:r>
          </w:p>
        </w:tc>
      </w:tr>
      <w:tr>
        <w:tc>
          <w:tcPr>
            <w:tcW w:type="dxa" w:w="4536"/>
          </w:tcPr>
          <w:p>
            <w:pPr>
              <w:jc w:val="center"/>
            </w:pPr>
            <w:r>
              <w:rPr>
                <w:sz w:val="18"/>
              </w:rPr>
              <w:t>Total Cumulative Return (%)</w:t>
            </w:r>
          </w:p>
        </w:tc>
        <w:tc>
          <w:tcPr>
            <w:tcW w:type="dxa" w:w="4536"/>
          </w:tcPr>
          <w:p>
            <w:pPr>
              <w:jc w:val="center"/>
            </w:pPr>
            <w:r>
              <w:rPr>
                <w:sz w:val="18"/>
              </w:rPr>
              <w:t>74.37</w:t>
            </w:r>
          </w:p>
        </w:tc>
      </w:tr>
      <w:tr>
        <w:tc>
          <w:tcPr>
            <w:tcW w:type="dxa" w:w="4536"/>
            <w:shd w:val="clear" w:color="auto" w:fill="C8E6C9"/>
          </w:tcPr>
          <w:p>
            <w:pPr>
              <w:jc w:val="center"/>
            </w:pPr>
            <w:r>
              <w:rPr>
                <w:sz w:val="18"/>
              </w:rPr>
              <w:t>Max Drawdown (%)</w:t>
            </w:r>
          </w:p>
        </w:tc>
        <w:tc>
          <w:tcPr>
            <w:tcW w:type="dxa" w:w="4536"/>
            <w:shd w:val="clear" w:color="auto" w:fill="C8E6C9"/>
          </w:tcPr>
          <w:p>
            <w:pPr>
              <w:jc w:val="center"/>
            </w:pPr>
            <w:r>
              <w:rPr>
                <w:sz w:val="18"/>
              </w:rPr>
              <w:t>-0.25</w:t>
            </w:r>
          </w:p>
        </w:tc>
      </w:tr>
      <w:tr>
        <w:tc>
          <w:tcPr>
            <w:tcW w:type="dxa" w:w="4536"/>
          </w:tcPr>
          <w:p>
            <w:pPr>
              <w:jc w:val="center"/>
            </w:pPr>
            <w:r>
              <w:rPr>
                <w:sz w:val="18"/>
              </w:rPr>
              <w:t>Win Rate (%)</w:t>
            </w:r>
          </w:p>
        </w:tc>
        <w:tc>
          <w:tcPr>
            <w:tcW w:type="dxa" w:w="4536"/>
          </w:tcPr>
          <w:p>
            <w:pPr>
              <w:jc w:val="center"/>
            </w:pPr>
            <w:r>
              <w:rPr>
                <w:sz w:val="18"/>
              </w:rPr>
              <w:t>80</w:t>
            </w:r>
          </w:p>
        </w:tc>
      </w:tr>
      <w:tr>
        <w:tc>
          <w:tcPr>
            <w:tcW w:type="dxa" w:w="4536"/>
            <w:shd w:val="clear" w:color="auto" w:fill="C8E6C9"/>
          </w:tcPr>
          <w:p>
            <w:pPr>
              <w:jc w:val="center"/>
            </w:pPr>
            <w:r>
              <w:rPr>
                <w:sz w:val="18"/>
              </w:rPr>
              <w:t>Best Year Return (%)</w:t>
            </w:r>
          </w:p>
        </w:tc>
        <w:tc>
          <w:tcPr>
            <w:tcW w:type="dxa" w:w="4536"/>
            <w:shd w:val="clear" w:color="auto" w:fill="C8E6C9"/>
          </w:tcPr>
          <w:p>
            <w:pPr>
              <w:jc w:val="center"/>
            </w:pPr>
            <w:r>
              <w:rPr>
                <w:sz w:val="18"/>
              </w:rPr>
              <w:t>16.64 (2022)</w:t>
            </w:r>
          </w:p>
        </w:tc>
      </w:tr>
      <w:tr>
        <w:tc>
          <w:tcPr>
            <w:tcW w:type="dxa" w:w="4536"/>
          </w:tcPr>
          <w:p>
            <w:pPr>
              <w:jc w:val="center"/>
            </w:pPr>
            <w:r>
              <w:rPr>
                <w:sz w:val="18"/>
              </w:rPr>
              <w:t>Worst Year Return (%)</w:t>
            </w:r>
          </w:p>
        </w:tc>
        <w:tc>
          <w:tcPr>
            <w:tcW w:type="dxa" w:w="4536"/>
          </w:tcPr>
          <w:p>
            <w:pPr>
              <w:jc w:val="center"/>
            </w:pPr>
            <w:r>
              <w:rPr>
                <w:sz w:val="18"/>
              </w:rPr>
              <w:t>-0.25 (2020)</w:t>
            </w:r>
          </w:p>
        </w:tc>
      </w:tr>
      <w:tr>
        <w:tc>
          <w:tcPr>
            <w:tcW w:type="dxa" w:w="4536"/>
            <w:shd w:val="clear" w:color="auto" w:fill="C8E6C9"/>
          </w:tcPr>
          <w:p>
            <w:pPr>
              <w:jc w:val="center"/>
            </w:pPr>
            <w:r>
              <w:rPr>
                <w:sz w:val="18"/>
              </w:rPr>
              <w:t>Avg Carry Differential (%)</w:t>
            </w:r>
          </w:p>
        </w:tc>
        <w:tc>
          <w:tcPr>
            <w:tcW w:type="dxa" w:w="4536"/>
            <w:shd w:val="clear" w:color="auto" w:fill="C8E6C9"/>
          </w:tcPr>
          <w:p>
            <w:pPr>
              <w:jc w:val="center"/>
            </w:pPr>
            <w:r>
              <w:rPr>
                <w:sz w:val="18"/>
              </w:rPr>
              <w:t>2.39</w:t>
            </w:r>
          </w:p>
        </w:tc>
      </w:tr>
      <w:tr>
        <w:tc>
          <w:tcPr>
            <w:tcW w:type="dxa" w:w="4536"/>
          </w:tcPr>
          <w:p>
            <w:pPr>
              <w:jc w:val="center"/>
            </w:pPr>
            <w:r>
              <w:rPr>
                <w:sz w:val="18"/>
              </w:rPr>
              <w:t>Avg JPY Depreciation (%)</w:t>
            </w:r>
          </w:p>
        </w:tc>
        <w:tc>
          <w:tcPr>
            <w:tcW w:type="dxa" w:w="4536"/>
          </w:tcPr>
          <w:p>
            <w:pPr>
              <w:jc w:val="center"/>
            </w:pPr>
            <w:r>
              <w:rPr>
                <w:sz w:val="18"/>
              </w:rPr>
              <w:t>3.95</w:t>
            </w:r>
          </w:p>
        </w:tc>
      </w:tr>
      <w:tr>
        <w:tc>
          <w:tcPr>
            <w:tcW w:type="dxa" w:w="4536"/>
            <w:shd w:val="clear" w:color="auto" w:fill="C8E6C9"/>
          </w:tcPr>
          <w:p>
            <w:pPr>
              <w:jc w:val="center"/>
            </w:pPr>
            <w:r>
              <w:rPr>
                <w:sz w:val="18"/>
              </w:rPr>
              <w:t>FX Direction Helped?</w:t>
            </w:r>
          </w:p>
        </w:tc>
        <w:tc>
          <w:tcPr>
            <w:tcW w:type="dxa" w:w="4536"/>
            <w:shd w:val="clear" w:color="auto" w:fill="C8E6C9"/>
          </w:tcPr>
          <w:p>
            <w:pPr>
              <w:jc w:val="center"/>
            </w:pPr>
            <w:r>
              <w:rPr>
                <w:sz w:val="18"/>
              </w:rPr>
              <w:t>YES — JPY mostly weakened</w:t>
            </w:r>
          </w:p>
        </w:tc>
      </w:tr>
    </w:tbl>
    <w:p>
      <w:r>
        <w:br w:type="page"/>
      </w:r>
    </w:p>
    <w:p>
      <w:pPr>
        <w:pStyle w:val="Heading1"/>
      </w:pPr>
      <w:r>
        <w:t>11. Key Observations &amp; Phase Analysis</w:t>
      </w:r>
    </w:p>
    <w:p>
      <w:pPr>
        <w:pStyle w:val="Heading2"/>
      </w:pPr>
      <w:r>
        <w:t>Phase 1: NIRP &amp; Thin Carry (2016-2020)</w:t>
      </w:r>
    </w:p>
    <w:p>
      <w:r>
        <w:t>BOJ at -0.10%, US rates between 0.10-2.40%. The carry was modest (0.20-2.50%) and FX was mixed — JPY strengthened in 2019-2020 as safe-haven flows kicked in during trade war fears and COVID. This was the least profitable phase.</w:t>
      </w:r>
    </w:p>
    <w:p>
      <w:pPr>
        <w:pStyle w:val="Heading2"/>
      </w:pPr>
      <w:r>
        <w:t>Phase 2: The Golden Era (2021-2024)</w:t>
      </w:r>
    </w:p>
    <w:p>
      <w:r>
        <w:t>The Fed hiked from 0.10% to 5.33% while BOJ stayed at -0.10% through 2023. The differential hit 5.43% — unprecedented for USD/JPY. Simultaneously, the JPY collapsed from 110 to 151. Carry traders earned both the widest differential AND the biggest FX tailwind in decades. 2022 alone returned 20%+.</w:t>
      </w:r>
    </w:p>
    <w:p>
      <w:pPr>
        <w:pStyle w:val="Heading2"/>
      </w:pPr>
      <w:r>
        <w:t>Phase 3: BOJ Normalisation (2025-2026)</w:t>
      </w:r>
    </w:p>
    <w:p>
      <w:r>
        <w:t>BOJ finally raised rates to 0.75%. The carry narrowed from 5.43% to 3.00%. JPY briefly strengthened in 2025 (USDJPY dipped to 149) but resumed weakening in 2026 on tariff-driven dollar strength. The trade remains profitable but the best days are likely behind it.</w:t>
      </w:r>
    </w:p>
    <w:p>
      <w:r>
        <w:br w:type="page"/>
      </w:r>
    </w:p>
    <w:p>
      <w:pPr>
        <w:pStyle w:val="Heading1"/>
      </w:pPr>
      <w:r>
        <w:t>12. Conclusions</w:t>
      </w:r>
    </w:p>
    <w:p>
      <w:pPr>
        <w:pStyle w:val="Heading3"/>
      </w:pPr>
      <w:r>
        <w:t>The JPY Carry Trade Has Been a Clear Winner</w:t>
      </w:r>
    </w:p>
    <w:p>
      <w:r>
        <w:t>Unlike the INR carry trade, the JPY trade delivered strong positive returns over the decade. The combination of near-free JPY borrowing costs AND JPY depreciation created a double tailwind that rarely occurs in FX markets.</w:t>
      </w:r>
    </w:p>
    <w:p>
      <w:pPr>
        <w:pStyle w:val="Heading3"/>
      </w:pPr>
      <w:r>
        <w:t>FX Was a Tailwind, Not a Headwind</w:t>
      </w:r>
    </w:p>
    <w:p>
      <w:r>
        <w:t>The defining difference vs. the INR trade: JPY depreciation added to returns rather than eroding them. The 45% USDJPY rise over the decade was itself a larger source of returns than the interest rate carry.</w:t>
      </w:r>
    </w:p>
    <w:p>
      <w:pPr>
        <w:pStyle w:val="Heading3"/>
      </w:pPr>
      <w:r>
        <w:t>The PPP Anomaly Favoured the Trade</w:t>
      </w:r>
    </w:p>
    <w:p>
      <w:r>
        <w:t>Despite higher US inflation (which PPP says should weaken USD), the JPY weakened. This is because capital flows chased the rate differential, overwhelming PPP forces. Carry traders benefited from this fundamental mispricing.</w:t>
      </w:r>
    </w:p>
    <w:p>
      <w:pPr>
        <w:pStyle w:val="Heading3"/>
      </w:pPr>
      <w:r>
        <w:t>Risk: Sudden JPY Strengthening</w:t>
      </w:r>
    </w:p>
    <w:p>
      <w:r>
        <w:t>The JPY is a safe-haven currency. During risk-off episodes (COVID 2020, trade wars), JPY strengthens sharply, causing sudden carry trade losses. The 2019-2020 period demonstrated this risk.</w:t>
      </w:r>
    </w:p>
    <w:p>
      <w:pPr>
        <w:pStyle w:val="Heading3"/>
      </w:pPr>
      <w:r>
        <w:t>The BOJ Is Normalising — Carry Is Shrinking</w:t>
      </w:r>
    </w:p>
    <w:p>
      <w:r>
        <w:t>BOJ's move from -0.10% to 0.75% has compressed the differential. If BOJ continues to hike while the Fed cuts, the carry advantage will erode further. The 2022-2024 golden era of 5%+ differentials is likely over.</w:t>
      </w:r>
    </w:p>
    <w:p>
      <w:r>
        <w:br w:type="page"/>
      </w:r>
    </w:p>
    <w:p>
      <w:pPr>
        <w:pStyle w:val="Heading1"/>
      </w:pPr>
      <w:r>
        <w:t>13. Data Sources</w:t>
      </w:r>
    </w:p>
    <w:p>
      <w:pPr>
        <w:pStyle w:val="ListBullet"/>
      </w:pPr>
      <w:r>
        <w:t>IRS — Yearly Average Currency Exchange Rates (irs.gov)</w:t>
      </w:r>
    </w:p>
    <w:p>
      <w:pPr>
        <w:pStyle w:val="ListBullet"/>
      </w:pPr>
      <w:r>
        <w:t>X-Rates — Historical USD/JPY Averages (x-rates.com)</w:t>
      </w:r>
    </w:p>
    <w:p>
      <w:pPr>
        <w:pStyle w:val="ListBullet"/>
      </w:pPr>
      <w:r>
        <w:t>Trading Economics — Japan Interest Rate, Inflation (tradingeconomics.com)</w:t>
      </w:r>
    </w:p>
    <w:p>
      <w:pPr>
        <w:pStyle w:val="ListBullet"/>
      </w:pPr>
      <w:r>
        <w:t>Bank of Japan — Monetary Policy Decisions (boj.or.jp)</w:t>
      </w:r>
    </w:p>
    <w:p>
      <w:pPr>
        <w:pStyle w:val="ListBullet"/>
      </w:pPr>
      <w:r>
        <w:t>Federal Reserve — FRED Database (fred.stlouisfed.org)</w:t>
      </w:r>
    </w:p>
    <w:p>
      <w:pPr>
        <w:pStyle w:val="ListBullet"/>
      </w:pPr>
      <w:r>
        <w:t>WorldData.info — Japan &amp; US Inflation Rates (worlddata.info)</w:t>
      </w:r>
    </w:p>
    <w:p>
      <w:pPr>
        <w:pStyle w:val="ListBullet"/>
      </w:pPr>
      <w:r>
        <w:t>CNBC — BOJ Rate Decision Coverage (cnbc.com)</w:t>
      </w:r>
    </w:p>
    <w:p/>
    <w:p>
      <w:r>
        <w:rPr>
          <w:i/>
          <w:color w:val="808080"/>
          <w:sz w:val="16"/>
        </w:rPr>
        <w:t>Disclaimer: For informational and educational purposes only. Not investment advice. Past performance does not guarantee future results. Data as of April 2026.</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