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2"/>
        </w:rPr>
        <w:t>ENTERPRISE LOGISTICS DATA PLATFORM</w:t>
      </w:r>
    </w:p>
    <w:p>
      <w:pPr>
        <w:pStyle w:val="Title"/>
        <w:jc w:val="center"/>
      </w:pPr>
      <w:r>
        <w:t>Sprint 3 — Data Reconciliation Report</w:t>
      </w:r>
    </w:p>
    <w:p>
      <w:pPr>
        <w:jc w:val="center"/>
      </w:pPr>
      <w:r>
        <w:rPr>
          <w:i/>
          <w:color w:val="646464"/>
        </w:rPr>
        <w:t>UC7 | Evidence-based working report</w:t>
      </w:r>
    </w:p>
    <w:p>
      <w:pPr>
        <w:pStyle w:val="Heading1"/>
      </w:pPr>
      <w:r>
        <w:t>1. Objective and Scope</w:t>
      </w:r>
    </w:p>
    <w:p>
      <w:r>
        <w:t>This report records row-count and referential-integrity validation performed for ELDP Staging and Gold, using PostgreSQL results shared during Sprint 3. Silver counts are included as previously recorded Sprint 2 baselines and have not been freshly re-queried in this validation session. This distinction is preserved to avoid claiming checks that have not been evidenced.</w:t>
      </w:r>
    </w:p>
    <w:p>
      <w:pPr>
        <w:pStyle w:val="Heading1"/>
      </w:pPr>
      <w:r>
        <w:t>2. Staging Load Reconciliation</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Staging table</w:t>
            </w:r>
          </w:p>
        </w:tc>
        <w:tc>
          <w:tcPr>
            <w:tcW w:type="dxa" w:w="3408"/>
            <w:shd w:fill="17365D"/>
          </w:tcPr>
          <w:p>
            <w:r>
              <w:rPr>
                <w:b/>
                <w:color w:val="FFFFFF"/>
                <w:sz w:val="16"/>
              </w:rPr>
              <w:t>Observed rows</w:t>
            </w:r>
          </w:p>
        </w:tc>
        <w:tc>
          <w:tcPr>
            <w:tcW w:type="dxa" w:w="3408"/>
            <w:shd w:fill="17365D"/>
          </w:tcPr>
          <w:p>
            <w:r>
              <w:rPr>
                <w:b/>
                <w:color w:val="FFFFFF"/>
                <w:sz w:val="16"/>
              </w:rPr>
              <w:t>Evidence / result</w:t>
            </w:r>
          </w:p>
        </w:tc>
      </w:tr>
      <w:tr>
        <w:tc>
          <w:tcPr>
            <w:tcW w:type="dxa" w:w="3408"/>
          </w:tcPr>
          <w:p>
            <w:pPr>
              <w:spacing w:after="20"/>
            </w:pPr>
            <w:r>
              <w:rPr>
                <w:sz w:val="16"/>
              </w:rPr>
              <w:t>staging.customer_feedback</w:t>
            </w:r>
          </w:p>
        </w:tc>
        <w:tc>
          <w:tcPr>
            <w:tcW w:type="dxa" w:w="3408"/>
          </w:tcPr>
          <w:p>
            <w:pPr>
              <w:spacing w:after="20"/>
            </w:pPr>
            <w:r>
              <w:rPr>
                <w:sz w:val="16"/>
              </w:rPr>
              <w:t>1,000</w:t>
            </w:r>
          </w:p>
        </w:tc>
        <w:tc>
          <w:tcPr>
            <w:tcW w:type="dxa" w:w="3408"/>
          </w:tcPr>
          <w:p>
            <w:pPr>
              <w:spacing w:after="20"/>
            </w:pPr>
            <w:r>
              <w:rPr>
                <w:sz w:val="16"/>
              </w:rPr>
              <w:t>Observed in PostgreSQL screenshot</w:t>
            </w:r>
          </w:p>
        </w:tc>
      </w:tr>
      <w:tr>
        <w:tc>
          <w:tcPr>
            <w:tcW w:type="dxa" w:w="3408"/>
            <w:shd w:fill="F2F6FA"/>
            <w:shd w:fill="F2F6FA"/>
            <w:shd w:fill="F2F6FA"/>
          </w:tcPr>
          <w:p>
            <w:pPr>
              <w:spacing w:after="20"/>
            </w:pPr>
            <w:r>
              <w:rPr>
                <w:sz w:val="16"/>
              </w:rPr>
              <w:t>staging.fleet_management</w:t>
            </w:r>
          </w:p>
        </w:tc>
        <w:tc>
          <w:tcPr>
            <w:tcW w:type="dxa" w:w="3408"/>
            <w:shd w:fill="F2F6FA"/>
            <w:shd w:fill="F2F6FA"/>
            <w:shd w:fill="F2F6FA"/>
          </w:tcPr>
          <w:p>
            <w:pPr>
              <w:spacing w:after="20"/>
            </w:pPr>
            <w:r>
              <w:rPr>
                <w:sz w:val="16"/>
              </w:rPr>
              <w:t>1,000</w:t>
            </w:r>
          </w:p>
        </w:tc>
        <w:tc>
          <w:tcPr>
            <w:tcW w:type="dxa" w:w="3408"/>
            <w:shd w:fill="F2F6FA"/>
            <w:shd w:fill="F2F6FA"/>
            <w:shd w:fill="F2F6FA"/>
          </w:tcPr>
          <w:p>
            <w:pPr>
              <w:spacing w:after="20"/>
            </w:pPr>
            <w:r>
              <w:rPr>
                <w:sz w:val="16"/>
              </w:rPr>
              <w:t>Observed in PostgreSQL screenshot</w:t>
            </w:r>
          </w:p>
        </w:tc>
      </w:tr>
      <w:tr>
        <w:tc>
          <w:tcPr>
            <w:tcW w:type="dxa" w:w="3408"/>
          </w:tcPr>
          <w:p>
            <w:pPr>
              <w:spacing w:after="20"/>
            </w:pPr>
            <w:r>
              <w:rPr>
                <w:sz w:val="16"/>
              </w:rPr>
              <w:t>staging.gps_tracking</w:t>
            </w:r>
          </w:p>
        </w:tc>
        <w:tc>
          <w:tcPr>
            <w:tcW w:type="dxa" w:w="3408"/>
          </w:tcPr>
          <w:p>
            <w:pPr>
              <w:spacing w:after="20"/>
            </w:pPr>
            <w:r>
              <w:rPr>
                <w:sz w:val="16"/>
              </w:rPr>
              <w:t>2,538</w:t>
            </w:r>
          </w:p>
        </w:tc>
        <w:tc>
          <w:tcPr>
            <w:tcW w:type="dxa" w:w="3408"/>
          </w:tcPr>
          <w:p>
            <w:pPr>
              <w:spacing w:after="20"/>
            </w:pPr>
            <w:r>
              <w:rPr>
                <w:sz w:val="16"/>
              </w:rPr>
              <w:t>Observed in PostgreSQL screenshot</w:t>
            </w:r>
          </w:p>
        </w:tc>
      </w:tr>
      <w:tr>
        <w:tc>
          <w:tcPr>
            <w:tcW w:type="dxa" w:w="3408"/>
            <w:shd w:fill="F2F6FA"/>
            <w:shd w:fill="F2F6FA"/>
            <w:shd w:fill="F2F6FA"/>
          </w:tcPr>
          <w:p>
            <w:pPr>
              <w:spacing w:after="20"/>
            </w:pPr>
            <w:r>
              <w:rPr>
                <w:sz w:val="16"/>
              </w:rPr>
              <w:t>staging.inventory_movements</w:t>
            </w:r>
          </w:p>
        </w:tc>
        <w:tc>
          <w:tcPr>
            <w:tcW w:type="dxa" w:w="3408"/>
            <w:shd w:fill="F2F6FA"/>
            <w:shd w:fill="F2F6FA"/>
            <w:shd w:fill="F2F6FA"/>
          </w:tcPr>
          <w:p>
            <w:pPr>
              <w:spacing w:after="20"/>
            </w:pPr>
            <w:r>
              <w:rPr>
                <w:sz w:val="16"/>
              </w:rPr>
              <w:t>1,400</w:t>
            </w:r>
          </w:p>
        </w:tc>
        <w:tc>
          <w:tcPr>
            <w:tcW w:type="dxa" w:w="3408"/>
            <w:shd w:fill="F2F6FA"/>
            <w:shd w:fill="F2F6FA"/>
            <w:shd w:fill="F2F6FA"/>
          </w:tcPr>
          <w:p>
            <w:pPr>
              <w:spacing w:after="20"/>
            </w:pPr>
            <w:r>
              <w:rPr>
                <w:sz w:val="16"/>
              </w:rPr>
              <w:t>Observed in PostgreSQL screenshot</w:t>
            </w:r>
          </w:p>
        </w:tc>
      </w:tr>
      <w:tr>
        <w:tc>
          <w:tcPr>
            <w:tcW w:type="dxa" w:w="3408"/>
          </w:tcPr>
          <w:p>
            <w:pPr>
              <w:spacing w:after="20"/>
            </w:pPr>
            <w:r>
              <w:rPr>
                <w:sz w:val="16"/>
              </w:rPr>
              <w:t>staging.iot_sensor_data</w:t>
            </w:r>
          </w:p>
        </w:tc>
        <w:tc>
          <w:tcPr>
            <w:tcW w:type="dxa" w:w="3408"/>
          </w:tcPr>
          <w:p>
            <w:pPr>
              <w:spacing w:after="20"/>
            </w:pPr>
            <w:r>
              <w:rPr>
                <w:sz w:val="16"/>
              </w:rPr>
              <w:t>2,200</w:t>
            </w:r>
          </w:p>
        </w:tc>
        <w:tc>
          <w:tcPr>
            <w:tcW w:type="dxa" w:w="3408"/>
          </w:tcPr>
          <w:p>
            <w:pPr>
              <w:spacing w:after="20"/>
            </w:pPr>
            <w:r>
              <w:rPr>
                <w:sz w:val="16"/>
              </w:rPr>
              <w:t>Observed in PostgreSQL screenshot</w:t>
            </w:r>
          </w:p>
        </w:tc>
      </w:tr>
      <w:tr>
        <w:tc>
          <w:tcPr>
            <w:tcW w:type="dxa" w:w="3408"/>
            <w:shd w:fill="F2F6FA"/>
            <w:shd w:fill="F2F6FA"/>
            <w:shd w:fill="F2F6FA"/>
          </w:tcPr>
          <w:p>
            <w:pPr>
              <w:spacing w:after="20"/>
            </w:pPr>
            <w:r>
              <w:rPr>
                <w:sz w:val="16"/>
              </w:rPr>
              <w:t>staging.oms_orders</w:t>
            </w:r>
          </w:p>
        </w:tc>
        <w:tc>
          <w:tcPr>
            <w:tcW w:type="dxa" w:w="3408"/>
            <w:shd w:fill="F2F6FA"/>
            <w:shd w:fill="F2F6FA"/>
            <w:shd w:fill="F2F6FA"/>
          </w:tcPr>
          <w:p>
            <w:pPr>
              <w:spacing w:after="20"/>
            </w:pPr>
            <w:r>
              <w:rPr>
                <w:sz w:val="16"/>
              </w:rPr>
              <w:t>1,218</w:t>
            </w:r>
          </w:p>
        </w:tc>
        <w:tc>
          <w:tcPr>
            <w:tcW w:type="dxa" w:w="3408"/>
            <w:shd w:fill="F2F6FA"/>
            <w:shd w:fill="F2F6FA"/>
            <w:shd w:fill="F2F6FA"/>
          </w:tcPr>
          <w:p>
            <w:pPr>
              <w:spacing w:after="20"/>
            </w:pPr>
            <w:r>
              <w:rPr>
                <w:sz w:val="16"/>
              </w:rPr>
              <w:t>Observed in PostgreSQL screenshot</w:t>
            </w:r>
          </w:p>
        </w:tc>
      </w:tr>
      <w:tr>
        <w:tc>
          <w:tcPr>
            <w:tcW w:type="dxa" w:w="3408"/>
          </w:tcPr>
          <w:p>
            <w:pPr>
              <w:spacing w:after="20"/>
            </w:pPr>
            <w:r>
              <w:rPr>
                <w:sz w:val="16"/>
              </w:rPr>
              <w:t>staging.shipment_tracking</w:t>
            </w:r>
          </w:p>
        </w:tc>
        <w:tc>
          <w:tcPr>
            <w:tcW w:type="dxa" w:w="3408"/>
          </w:tcPr>
          <w:p>
            <w:pPr>
              <w:spacing w:after="20"/>
            </w:pPr>
            <w:r>
              <w:rPr>
                <w:sz w:val="16"/>
              </w:rPr>
              <w:t>2,000</w:t>
            </w:r>
          </w:p>
        </w:tc>
        <w:tc>
          <w:tcPr>
            <w:tcW w:type="dxa" w:w="3408"/>
          </w:tcPr>
          <w:p>
            <w:pPr>
              <w:spacing w:after="20"/>
            </w:pPr>
            <w:r>
              <w:rPr>
                <w:sz w:val="16"/>
              </w:rPr>
              <w:t>Observed in PostgreSQL screenshot</w:t>
            </w:r>
          </w:p>
        </w:tc>
      </w:tr>
      <w:tr>
        <w:tc>
          <w:tcPr>
            <w:tcW w:type="dxa" w:w="3408"/>
            <w:shd w:fill="F2F6FA"/>
            <w:shd w:fill="F2F6FA"/>
            <w:shd w:fill="F2F6FA"/>
          </w:tcPr>
          <w:p>
            <w:pPr>
              <w:spacing w:after="20"/>
            </w:pPr>
            <w:r>
              <w:rPr>
                <w:sz w:val="16"/>
              </w:rPr>
              <w:t>staging.tms_shipments</w:t>
            </w:r>
          </w:p>
        </w:tc>
        <w:tc>
          <w:tcPr>
            <w:tcW w:type="dxa" w:w="3408"/>
            <w:shd w:fill="F2F6FA"/>
            <w:shd w:fill="F2F6FA"/>
            <w:shd w:fill="F2F6FA"/>
          </w:tcPr>
          <w:p>
            <w:pPr>
              <w:spacing w:after="20"/>
            </w:pPr>
            <w:r>
              <w:rPr>
                <w:sz w:val="16"/>
              </w:rPr>
              <w:t>1,515</w:t>
            </w:r>
          </w:p>
        </w:tc>
        <w:tc>
          <w:tcPr>
            <w:tcW w:type="dxa" w:w="3408"/>
            <w:shd w:fill="F2F6FA"/>
            <w:shd w:fill="F2F6FA"/>
            <w:shd w:fill="F2F6FA"/>
          </w:tcPr>
          <w:p>
            <w:pPr>
              <w:spacing w:after="20"/>
            </w:pPr>
            <w:r>
              <w:rPr>
                <w:sz w:val="16"/>
              </w:rPr>
              <w:t>Observed in PostgreSQL screenshot</w:t>
            </w:r>
          </w:p>
        </w:tc>
      </w:tr>
      <w:tr>
        <w:tc>
          <w:tcPr>
            <w:tcW w:type="dxa" w:w="3408"/>
          </w:tcPr>
          <w:p>
            <w:pPr>
              <w:spacing w:after="20"/>
            </w:pPr>
            <w:r>
              <w:rPr>
                <w:sz w:val="16"/>
              </w:rPr>
              <w:t>staging.vendor_portal</w:t>
            </w:r>
          </w:p>
        </w:tc>
        <w:tc>
          <w:tcPr>
            <w:tcW w:type="dxa" w:w="3408"/>
          </w:tcPr>
          <w:p>
            <w:pPr>
              <w:spacing w:after="20"/>
            </w:pPr>
            <w:r>
              <w:rPr>
                <w:sz w:val="16"/>
              </w:rPr>
              <w:t>1,100</w:t>
            </w:r>
          </w:p>
        </w:tc>
        <w:tc>
          <w:tcPr>
            <w:tcW w:type="dxa" w:w="3408"/>
          </w:tcPr>
          <w:p>
            <w:pPr>
              <w:spacing w:after="20"/>
            </w:pPr>
            <w:r>
              <w:rPr>
                <w:sz w:val="16"/>
              </w:rPr>
              <w:t>Observed in PostgreSQL screenshot</w:t>
            </w:r>
          </w:p>
        </w:tc>
      </w:tr>
      <w:tr>
        <w:tc>
          <w:tcPr>
            <w:tcW w:type="dxa" w:w="3408"/>
            <w:shd w:fill="F2F6FA"/>
            <w:shd w:fill="F2F6FA"/>
            <w:shd w:fill="F2F6FA"/>
          </w:tcPr>
          <w:p>
            <w:pPr>
              <w:spacing w:after="20"/>
            </w:pPr>
            <w:r>
              <w:rPr>
                <w:sz w:val="16"/>
              </w:rPr>
              <w:t>staging.wms_inventory</w:t>
            </w:r>
          </w:p>
        </w:tc>
        <w:tc>
          <w:tcPr>
            <w:tcW w:type="dxa" w:w="3408"/>
            <w:shd w:fill="F2F6FA"/>
            <w:shd w:fill="F2F6FA"/>
            <w:shd w:fill="F2F6FA"/>
          </w:tcPr>
          <w:p>
            <w:pPr>
              <w:spacing w:after="20"/>
            </w:pPr>
            <w:r>
              <w:rPr>
                <w:sz w:val="16"/>
              </w:rPr>
              <w:t>1,300</w:t>
            </w:r>
          </w:p>
        </w:tc>
        <w:tc>
          <w:tcPr>
            <w:tcW w:type="dxa" w:w="3408"/>
            <w:shd w:fill="F2F6FA"/>
            <w:shd w:fill="F2F6FA"/>
            <w:shd w:fill="F2F6FA"/>
          </w:tcPr>
          <w:p>
            <w:pPr>
              <w:spacing w:after="20"/>
            </w:pPr>
            <w:r>
              <w:rPr>
                <w:sz w:val="16"/>
              </w:rPr>
              <w:t>Observed in PostgreSQL screenshot</w:t>
            </w:r>
          </w:p>
        </w:tc>
      </w:tr>
      <w:tr>
        <w:tc>
          <w:tcPr>
            <w:tcW w:type="dxa" w:w="3408"/>
          </w:tcPr>
          <w:p>
            <w:pPr>
              <w:spacing w:after="20"/>
            </w:pPr>
            <w:r>
              <w:rPr>
                <w:sz w:val="16"/>
              </w:rPr>
              <w:t>TOTAL</w:t>
            </w:r>
          </w:p>
        </w:tc>
        <w:tc>
          <w:tcPr>
            <w:tcW w:type="dxa" w:w="3408"/>
          </w:tcPr>
          <w:p>
            <w:pPr>
              <w:spacing w:after="20"/>
            </w:pPr>
            <w:r>
              <w:rPr>
                <w:sz w:val="16"/>
              </w:rPr>
              <w:t>15,271</w:t>
            </w:r>
          </w:p>
        </w:tc>
        <w:tc>
          <w:tcPr>
            <w:tcW w:type="dxa" w:w="3408"/>
          </w:tcPr>
          <w:p>
            <w:pPr>
              <w:spacing w:after="20"/>
            </w:pPr>
            <w:r>
              <w:rPr>
                <w:sz w:val="16"/>
              </w:rPr>
              <w:t>All 10 expected tables present; observed counts sum to 15,271</w:t>
            </w:r>
          </w:p>
        </w:tc>
      </w:tr>
    </w:tbl>
    <w:p/>
    <w:p>
      <w:r>
        <w:t>Interpretation: the master transformation was reported as executed, all ten staging tables were present, and observed row counts matched the recorded baseline. This confirms table presence and counts, not every field value or safe repeat-run behavior.</w:t>
      </w:r>
    </w:p>
    <w:p>
      <w:pPr>
        <w:pStyle w:val="Heading1"/>
      </w:pPr>
      <w:r>
        <w:t>3. Silver Layer — Previously Recorded Baseline</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Silver table</w:t>
            </w:r>
          </w:p>
        </w:tc>
        <w:tc>
          <w:tcPr>
            <w:tcW w:type="dxa" w:w="3408"/>
            <w:shd w:fill="17365D"/>
          </w:tcPr>
          <w:p>
            <w:r>
              <w:rPr>
                <w:b/>
                <w:color w:val="FFFFFF"/>
                <w:sz w:val="16"/>
              </w:rPr>
              <w:t>Previously recorded rows</w:t>
            </w:r>
          </w:p>
        </w:tc>
        <w:tc>
          <w:tcPr>
            <w:tcW w:type="dxa" w:w="3408"/>
            <w:shd w:fill="17365D"/>
          </w:tcPr>
          <w:p>
            <w:r>
              <w:rPr>
                <w:b/>
                <w:color w:val="FFFFFF"/>
                <w:sz w:val="16"/>
              </w:rPr>
              <w:t>Cleaning / exception note</w:t>
            </w:r>
          </w:p>
        </w:tc>
      </w:tr>
      <w:tr>
        <w:tc>
          <w:tcPr>
            <w:tcW w:type="dxa" w:w="3408"/>
          </w:tcPr>
          <w:p>
            <w:pPr>
              <w:spacing w:after="20"/>
            </w:pPr>
            <w:r>
              <w:rPr>
                <w:sz w:val="16"/>
              </w:rPr>
              <w:t>silver.customer_feedback</w:t>
            </w:r>
          </w:p>
        </w:tc>
        <w:tc>
          <w:tcPr>
            <w:tcW w:type="dxa" w:w="3408"/>
          </w:tcPr>
          <w:p>
            <w:pPr>
              <w:spacing w:after="20"/>
            </w:pPr>
            <w:r>
              <w:rPr>
                <w:sz w:val="16"/>
              </w:rPr>
              <w:t>980</w:t>
            </w:r>
          </w:p>
        </w:tc>
        <w:tc>
          <w:tcPr>
            <w:tcW w:type="dxa" w:w="3408"/>
          </w:tcPr>
          <w:p>
            <w:pPr>
              <w:spacing w:after="20"/>
            </w:pPr>
            <w:r>
              <w:rPr>
                <w:sz w:val="16"/>
              </w:rPr>
              <w:t>Invalid ratings removed during cleaning.</w:t>
            </w:r>
          </w:p>
        </w:tc>
      </w:tr>
      <w:tr>
        <w:tc>
          <w:tcPr>
            <w:tcW w:type="dxa" w:w="3408"/>
            <w:shd w:fill="F2F6FA"/>
            <w:shd w:fill="F2F6FA"/>
            <w:shd w:fill="F2F6FA"/>
          </w:tcPr>
          <w:p>
            <w:pPr>
              <w:spacing w:after="20"/>
            </w:pPr>
            <w:r>
              <w:rPr>
                <w:sz w:val="16"/>
              </w:rPr>
              <w:t>silver.fleet_management</w:t>
            </w:r>
          </w:p>
        </w:tc>
        <w:tc>
          <w:tcPr>
            <w:tcW w:type="dxa" w:w="3408"/>
            <w:shd w:fill="F2F6FA"/>
            <w:shd w:fill="F2F6FA"/>
            <w:shd w:fill="F2F6FA"/>
          </w:tcPr>
          <w:p>
            <w:pPr>
              <w:spacing w:after="20"/>
            </w:pPr>
            <w:r>
              <w:rPr>
                <w:sz w:val="16"/>
              </w:rPr>
              <w:t>982</w:t>
            </w:r>
          </w:p>
        </w:tc>
        <w:tc>
          <w:tcPr>
            <w:tcW w:type="dxa" w:w="3408"/>
            <w:shd w:fill="F2F6FA"/>
            <w:shd w:fill="F2F6FA"/>
            <w:shd w:fill="F2F6FA"/>
          </w:tcPr>
          <w:p>
            <w:pPr>
              <w:spacing w:after="20"/>
            </w:pPr>
            <w:r>
              <w:rPr>
                <w:sz w:val="16"/>
              </w:rPr>
              <w:t>18 negative-fuel records removed.</w:t>
            </w:r>
          </w:p>
        </w:tc>
      </w:tr>
      <w:tr>
        <w:tc>
          <w:tcPr>
            <w:tcW w:type="dxa" w:w="3408"/>
          </w:tcPr>
          <w:p>
            <w:pPr>
              <w:spacing w:after="20"/>
            </w:pPr>
            <w:r>
              <w:rPr>
                <w:sz w:val="16"/>
              </w:rPr>
              <w:t>silver.gps_tracking</w:t>
            </w:r>
          </w:p>
        </w:tc>
        <w:tc>
          <w:tcPr>
            <w:tcW w:type="dxa" w:w="3408"/>
          </w:tcPr>
          <w:p>
            <w:pPr>
              <w:spacing w:after="20"/>
            </w:pPr>
            <w:r>
              <w:rPr>
                <w:sz w:val="16"/>
              </w:rPr>
              <w:t>2,436</w:t>
            </w:r>
          </w:p>
        </w:tc>
        <w:tc>
          <w:tcPr>
            <w:tcW w:type="dxa" w:w="3408"/>
          </w:tcPr>
          <w:p>
            <w:pPr>
              <w:spacing w:after="20"/>
            </w:pPr>
            <w:r>
              <w:rPr>
                <w:sz w:val="16"/>
              </w:rPr>
              <w:t>Duplicate ping IDs and invalid latitude records removed.</w:t>
            </w:r>
          </w:p>
        </w:tc>
      </w:tr>
      <w:tr>
        <w:tc>
          <w:tcPr>
            <w:tcW w:type="dxa" w:w="3408"/>
            <w:shd w:fill="F2F6FA"/>
            <w:shd w:fill="F2F6FA"/>
            <w:shd w:fill="F2F6FA"/>
          </w:tcPr>
          <w:p>
            <w:pPr>
              <w:spacing w:after="20"/>
            </w:pPr>
            <w:r>
              <w:rPr>
                <w:sz w:val="16"/>
              </w:rPr>
              <w:t>silver.inventory_movements</w:t>
            </w:r>
          </w:p>
        </w:tc>
        <w:tc>
          <w:tcPr>
            <w:tcW w:type="dxa" w:w="3408"/>
            <w:shd w:fill="F2F6FA"/>
            <w:shd w:fill="F2F6FA"/>
            <w:shd w:fill="F2F6FA"/>
          </w:tcPr>
          <w:p>
            <w:pPr>
              <w:spacing w:after="20"/>
            </w:pPr>
            <w:r>
              <w:rPr>
                <w:sz w:val="16"/>
              </w:rPr>
              <w:t>1,400</w:t>
            </w:r>
          </w:p>
        </w:tc>
        <w:tc>
          <w:tcPr>
            <w:tcW w:type="dxa" w:w="3408"/>
            <w:shd w:fill="F2F6FA"/>
            <w:shd w:fill="F2F6FA"/>
            <w:shd w:fill="F2F6FA"/>
          </w:tcPr>
          <w:p>
            <w:pPr>
              <w:spacing w:after="20"/>
            </w:pPr>
            <w:r>
              <w:rPr>
                <w:sz w:val="16"/>
              </w:rPr>
              <w:t>66 missing warehouse references preserved.</w:t>
            </w:r>
          </w:p>
        </w:tc>
      </w:tr>
      <w:tr>
        <w:tc>
          <w:tcPr>
            <w:tcW w:type="dxa" w:w="3408"/>
          </w:tcPr>
          <w:p>
            <w:pPr>
              <w:spacing w:after="20"/>
            </w:pPr>
            <w:r>
              <w:rPr>
                <w:sz w:val="16"/>
              </w:rPr>
              <w:t>silver.iot_sensor_data</w:t>
            </w:r>
          </w:p>
        </w:tc>
        <w:tc>
          <w:tcPr>
            <w:tcW w:type="dxa" w:w="3408"/>
          </w:tcPr>
          <w:p>
            <w:pPr>
              <w:spacing w:after="20"/>
            </w:pPr>
            <w:r>
              <w:rPr>
                <w:sz w:val="16"/>
              </w:rPr>
              <w:t>2,200</w:t>
            </w:r>
          </w:p>
        </w:tc>
        <w:tc>
          <w:tcPr>
            <w:tcW w:type="dxa" w:w="3408"/>
          </w:tcPr>
          <w:p>
            <w:pPr>
              <w:spacing w:after="20"/>
            </w:pPr>
            <w:r>
              <w:rPr>
                <w:sz w:val="16"/>
              </w:rPr>
              <w:t>62 missing humidity values preserved; no unapproved temperature threshold applied.</w:t>
            </w:r>
          </w:p>
        </w:tc>
      </w:tr>
      <w:tr>
        <w:tc>
          <w:tcPr>
            <w:tcW w:type="dxa" w:w="3408"/>
            <w:shd w:fill="F2F6FA"/>
            <w:shd w:fill="F2F6FA"/>
            <w:shd w:fill="F2F6FA"/>
          </w:tcPr>
          <w:p>
            <w:pPr>
              <w:spacing w:after="20"/>
            </w:pPr>
            <w:r>
              <w:rPr>
                <w:sz w:val="16"/>
              </w:rPr>
              <w:t>silver.oms_orders</w:t>
            </w:r>
          </w:p>
        </w:tc>
        <w:tc>
          <w:tcPr>
            <w:tcW w:type="dxa" w:w="3408"/>
            <w:shd w:fill="F2F6FA"/>
            <w:shd w:fill="F2F6FA"/>
            <w:shd w:fill="F2F6FA"/>
          </w:tcPr>
          <w:p>
            <w:pPr>
              <w:spacing w:after="20"/>
            </w:pPr>
            <w:r>
              <w:rPr>
                <w:sz w:val="16"/>
              </w:rPr>
              <w:t>1,200</w:t>
            </w:r>
          </w:p>
        </w:tc>
        <w:tc>
          <w:tcPr>
            <w:tcW w:type="dxa" w:w="3408"/>
            <w:shd w:fill="F2F6FA"/>
            <w:shd w:fill="F2F6FA"/>
            <w:shd w:fill="F2F6FA"/>
          </w:tcPr>
          <w:p>
            <w:pPr>
              <w:spacing w:after="20"/>
            </w:pPr>
            <w:r>
              <w:rPr>
                <w:sz w:val="16"/>
              </w:rPr>
              <w:t>18 exact duplicate records removed.</w:t>
            </w:r>
          </w:p>
        </w:tc>
      </w:tr>
      <w:tr>
        <w:tc>
          <w:tcPr>
            <w:tcW w:type="dxa" w:w="3408"/>
          </w:tcPr>
          <w:p>
            <w:pPr>
              <w:spacing w:after="20"/>
            </w:pPr>
            <w:r>
              <w:rPr>
                <w:sz w:val="16"/>
              </w:rPr>
              <w:t>silver.shipment_tracking</w:t>
            </w:r>
          </w:p>
        </w:tc>
        <w:tc>
          <w:tcPr>
            <w:tcW w:type="dxa" w:w="3408"/>
          </w:tcPr>
          <w:p>
            <w:pPr>
              <w:spacing w:after="20"/>
            </w:pPr>
            <w:r>
              <w:rPr>
                <w:sz w:val="16"/>
              </w:rPr>
              <w:t>2,000</w:t>
            </w:r>
          </w:p>
        </w:tc>
        <w:tc>
          <w:tcPr>
            <w:tcW w:type="dxa" w:w="3408"/>
          </w:tcPr>
          <w:p>
            <w:pPr>
              <w:spacing w:after="20"/>
            </w:pPr>
            <w:r>
              <w:rPr>
                <w:sz w:val="16"/>
              </w:rPr>
              <w:t>Optional missing values preserved.</w:t>
            </w:r>
          </w:p>
        </w:tc>
      </w:tr>
      <w:tr>
        <w:tc>
          <w:tcPr>
            <w:tcW w:type="dxa" w:w="3408"/>
            <w:shd w:fill="F2F6FA"/>
            <w:shd w:fill="F2F6FA"/>
            <w:shd w:fill="F2F6FA"/>
          </w:tcPr>
          <w:p>
            <w:pPr>
              <w:spacing w:after="20"/>
            </w:pPr>
            <w:r>
              <w:rPr>
                <w:sz w:val="16"/>
              </w:rPr>
              <w:t>silver.tms_shipments</w:t>
            </w:r>
          </w:p>
        </w:tc>
        <w:tc>
          <w:tcPr>
            <w:tcW w:type="dxa" w:w="3408"/>
            <w:shd w:fill="F2F6FA"/>
            <w:shd w:fill="F2F6FA"/>
            <w:shd w:fill="F2F6FA"/>
          </w:tcPr>
          <w:p>
            <w:pPr>
              <w:spacing w:after="20"/>
            </w:pPr>
            <w:r>
              <w:rPr>
                <w:sz w:val="16"/>
              </w:rPr>
              <w:t>1,467</w:t>
            </w:r>
          </w:p>
        </w:tc>
        <w:tc>
          <w:tcPr>
            <w:tcW w:type="dxa" w:w="3408"/>
            <w:shd w:fill="F2F6FA"/>
            <w:shd w:fill="F2F6FA"/>
            <w:shd w:fill="F2F6FA"/>
          </w:tcPr>
          <w:p>
            <w:pPr>
              <w:spacing w:after="20"/>
            </w:pPr>
            <w:r>
              <w:rPr>
                <w:sz w:val="16"/>
              </w:rPr>
              <w:t>Duplicate/negative-distance filtering recorded; in-transit missing delivery dates retained.</w:t>
            </w:r>
          </w:p>
        </w:tc>
      </w:tr>
      <w:tr>
        <w:tc>
          <w:tcPr>
            <w:tcW w:type="dxa" w:w="3408"/>
          </w:tcPr>
          <w:p>
            <w:pPr>
              <w:spacing w:after="20"/>
            </w:pPr>
            <w:r>
              <w:rPr>
                <w:sz w:val="16"/>
              </w:rPr>
              <w:t>silver.vendor_portal</w:t>
            </w:r>
          </w:p>
        </w:tc>
        <w:tc>
          <w:tcPr>
            <w:tcW w:type="dxa" w:w="3408"/>
          </w:tcPr>
          <w:p>
            <w:pPr>
              <w:spacing w:after="20"/>
            </w:pPr>
            <w:r>
              <w:rPr>
                <w:sz w:val="16"/>
              </w:rPr>
              <w:t>1,100</w:t>
            </w:r>
          </w:p>
        </w:tc>
        <w:tc>
          <w:tcPr>
            <w:tcW w:type="dxa" w:w="3408"/>
          </w:tcPr>
          <w:p>
            <w:pPr>
              <w:spacing w:after="20"/>
            </w:pPr>
            <w:r>
              <w:rPr>
                <w:sz w:val="16"/>
              </w:rPr>
              <w:t>Missing acknowledged dates preserved.</w:t>
            </w:r>
          </w:p>
        </w:tc>
      </w:tr>
      <w:tr>
        <w:tc>
          <w:tcPr>
            <w:tcW w:type="dxa" w:w="3408"/>
            <w:shd w:fill="F2F6FA"/>
            <w:shd w:fill="F2F6FA"/>
            <w:shd w:fill="F2F6FA"/>
          </w:tcPr>
          <w:p>
            <w:pPr>
              <w:spacing w:after="20"/>
            </w:pPr>
            <w:r>
              <w:rPr>
                <w:sz w:val="16"/>
              </w:rPr>
              <w:t>silver.wms_inventory</w:t>
            </w:r>
          </w:p>
        </w:tc>
        <w:tc>
          <w:tcPr>
            <w:tcW w:type="dxa" w:w="3408"/>
            <w:shd w:fill="F2F6FA"/>
            <w:shd w:fill="F2F6FA"/>
            <w:shd w:fill="F2F6FA"/>
          </w:tcPr>
          <w:p>
            <w:pPr>
              <w:spacing w:after="20"/>
            </w:pPr>
            <w:r>
              <w:rPr>
                <w:sz w:val="16"/>
              </w:rPr>
              <w:t>1,291</w:t>
            </w:r>
          </w:p>
        </w:tc>
        <w:tc>
          <w:tcPr>
            <w:tcW w:type="dxa" w:w="3408"/>
            <w:shd w:fill="F2F6FA"/>
            <w:shd w:fill="F2F6FA"/>
            <w:shd w:fill="F2F6FA"/>
          </w:tcPr>
          <w:p>
            <w:pPr>
              <w:spacing w:after="20"/>
            </w:pPr>
            <w:r>
              <w:rPr>
                <w:sz w:val="16"/>
              </w:rPr>
              <w:t>Negative quantity records removed; missing bin standardized to UNKNOWN.</w:t>
            </w:r>
          </w:p>
        </w:tc>
      </w:tr>
    </w:tbl>
    <w:p/>
    <w:p>
      <w:r>
        <w:t>Status: historical Sprint 2 baseline only; Silver counts were not freshly queried in this validation session.</w:t>
      </w:r>
    </w:p>
    <w:p>
      <w:pPr>
        <w:pStyle w:val="Heading1"/>
      </w:pPr>
      <w:r>
        <w:t>4. Gold Layer — Observed Row Counts</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Gold table</w:t>
            </w:r>
          </w:p>
        </w:tc>
        <w:tc>
          <w:tcPr>
            <w:tcW w:type="dxa" w:w="3408"/>
            <w:shd w:fill="17365D"/>
          </w:tcPr>
          <w:p>
            <w:r>
              <w:rPr>
                <w:b/>
                <w:color w:val="FFFFFF"/>
                <w:sz w:val="16"/>
              </w:rPr>
              <w:t>Observed rows</w:t>
            </w:r>
          </w:p>
        </w:tc>
        <w:tc>
          <w:tcPr>
            <w:tcW w:type="dxa" w:w="3408"/>
            <w:shd w:fill="17365D"/>
          </w:tcPr>
          <w:p>
            <w:r>
              <w:rPr>
                <w:b/>
                <w:color w:val="FFFFFF"/>
                <w:sz w:val="16"/>
              </w:rPr>
              <w:t>Result</w:t>
            </w:r>
          </w:p>
        </w:tc>
      </w:tr>
      <w:tr>
        <w:tc>
          <w:tcPr>
            <w:tcW w:type="dxa" w:w="3408"/>
          </w:tcPr>
          <w:p>
            <w:pPr>
              <w:spacing w:after="20"/>
            </w:pPr>
            <w:r>
              <w:rPr>
                <w:sz w:val="16"/>
              </w:rPr>
              <w:t>gold.dim_customer</w:t>
            </w:r>
          </w:p>
        </w:tc>
        <w:tc>
          <w:tcPr>
            <w:tcW w:type="dxa" w:w="3408"/>
          </w:tcPr>
          <w:p>
            <w:pPr>
              <w:spacing w:after="20"/>
            </w:pPr>
            <w:r>
              <w:rPr>
                <w:sz w:val="16"/>
              </w:rPr>
              <w:t>600</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gold.dim_product</w:t>
            </w:r>
          </w:p>
        </w:tc>
        <w:tc>
          <w:tcPr>
            <w:tcW w:type="dxa" w:w="3408"/>
            <w:shd w:fill="F2F6FA"/>
            <w:shd w:fill="F2F6FA"/>
            <w:shd w:fill="F2F6FA"/>
          </w:tcPr>
          <w:p>
            <w:pPr>
              <w:spacing w:after="20"/>
            </w:pPr>
            <w:r>
              <w:rPr>
                <w:sz w:val="16"/>
              </w:rPr>
              <w:t>150</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gold.dim_supplier</w:t>
            </w:r>
          </w:p>
        </w:tc>
        <w:tc>
          <w:tcPr>
            <w:tcW w:type="dxa" w:w="3408"/>
          </w:tcPr>
          <w:p>
            <w:pPr>
              <w:spacing w:after="20"/>
            </w:pPr>
            <w:r>
              <w:rPr>
                <w:sz w:val="16"/>
              </w:rPr>
              <w:t>45</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gold.dim_vehicle</w:t>
            </w:r>
          </w:p>
        </w:tc>
        <w:tc>
          <w:tcPr>
            <w:tcW w:type="dxa" w:w="3408"/>
            <w:shd w:fill="F2F6FA"/>
            <w:shd w:fill="F2F6FA"/>
            <w:shd w:fill="F2F6FA"/>
          </w:tcPr>
          <w:p>
            <w:pPr>
              <w:spacing w:after="20"/>
            </w:pPr>
            <w:r>
              <w:rPr>
                <w:sz w:val="16"/>
              </w:rPr>
              <w:t>60</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gold.dim_warehouse</w:t>
            </w:r>
          </w:p>
        </w:tc>
        <w:tc>
          <w:tcPr>
            <w:tcW w:type="dxa" w:w="3408"/>
          </w:tcPr>
          <w:p>
            <w:pPr>
              <w:spacing w:after="20"/>
            </w:pPr>
            <w:r>
              <w:rPr>
                <w:sz w:val="16"/>
              </w:rPr>
              <w:t>15</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gold.fact_customer_feedback</w:t>
            </w:r>
          </w:p>
        </w:tc>
        <w:tc>
          <w:tcPr>
            <w:tcW w:type="dxa" w:w="3408"/>
            <w:shd w:fill="F2F6FA"/>
            <w:shd w:fill="F2F6FA"/>
            <w:shd w:fill="F2F6FA"/>
          </w:tcPr>
          <w:p>
            <w:pPr>
              <w:spacing w:after="20"/>
            </w:pPr>
            <w:r>
              <w:rPr>
                <w:sz w:val="16"/>
              </w:rPr>
              <w:t>980</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gold.fact_fleet_event</w:t>
            </w:r>
          </w:p>
        </w:tc>
        <w:tc>
          <w:tcPr>
            <w:tcW w:type="dxa" w:w="3408"/>
          </w:tcPr>
          <w:p>
            <w:pPr>
              <w:spacing w:after="20"/>
            </w:pPr>
            <w:r>
              <w:rPr>
                <w:sz w:val="16"/>
              </w:rPr>
              <w:t>982</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gold.fact_gps_tracking</w:t>
            </w:r>
          </w:p>
        </w:tc>
        <w:tc>
          <w:tcPr>
            <w:tcW w:type="dxa" w:w="3408"/>
            <w:shd w:fill="F2F6FA"/>
            <w:shd w:fill="F2F6FA"/>
            <w:shd w:fill="F2F6FA"/>
          </w:tcPr>
          <w:p>
            <w:pPr>
              <w:spacing w:after="20"/>
            </w:pPr>
            <w:r>
              <w:rPr>
                <w:sz w:val="16"/>
              </w:rPr>
              <w:t>2,436</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gold.fact_inventory_movement</w:t>
            </w:r>
          </w:p>
        </w:tc>
        <w:tc>
          <w:tcPr>
            <w:tcW w:type="dxa" w:w="3408"/>
          </w:tcPr>
          <w:p>
            <w:pPr>
              <w:spacing w:after="20"/>
            </w:pPr>
            <w:r>
              <w:rPr>
                <w:sz w:val="16"/>
              </w:rPr>
              <w:t>1,400</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gold.fact_inventory_snapshot</w:t>
            </w:r>
          </w:p>
        </w:tc>
        <w:tc>
          <w:tcPr>
            <w:tcW w:type="dxa" w:w="3408"/>
            <w:shd w:fill="F2F6FA"/>
            <w:shd w:fill="F2F6FA"/>
            <w:shd w:fill="F2F6FA"/>
          </w:tcPr>
          <w:p>
            <w:pPr>
              <w:spacing w:after="20"/>
            </w:pPr>
            <w:r>
              <w:rPr>
                <w:sz w:val="16"/>
              </w:rPr>
              <w:t>1,291</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gold.fact_order</w:t>
            </w:r>
          </w:p>
        </w:tc>
        <w:tc>
          <w:tcPr>
            <w:tcW w:type="dxa" w:w="3408"/>
          </w:tcPr>
          <w:p>
            <w:pPr>
              <w:spacing w:after="20"/>
            </w:pPr>
            <w:r>
              <w:rPr>
                <w:sz w:val="16"/>
              </w:rPr>
              <w:t>1,200</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gold.fact_purchase_order</w:t>
            </w:r>
          </w:p>
        </w:tc>
        <w:tc>
          <w:tcPr>
            <w:tcW w:type="dxa" w:w="3408"/>
            <w:shd w:fill="F2F6FA"/>
            <w:shd w:fill="F2F6FA"/>
            <w:shd w:fill="F2F6FA"/>
          </w:tcPr>
          <w:p>
            <w:pPr>
              <w:spacing w:after="20"/>
            </w:pPr>
            <w:r>
              <w:rPr>
                <w:sz w:val="16"/>
              </w:rPr>
              <w:t>1,100</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gold.fact_sensor_reading</w:t>
            </w:r>
          </w:p>
        </w:tc>
        <w:tc>
          <w:tcPr>
            <w:tcW w:type="dxa" w:w="3408"/>
          </w:tcPr>
          <w:p>
            <w:pPr>
              <w:spacing w:after="20"/>
            </w:pPr>
            <w:r>
              <w:rPr>
                <w:sz w:val="16"/>
              </w:rPr>
              <w:t>2,200</w:t>
            </w:r>
          </w:p>
        </w:tc>
        <w:tc>
          <w:tcPr>
            <w:tcW w:type="dxa" w:w="3408"/>
          </w:tcPr>
          <w:p>
            <w:pPr>
              <w:spacing w:after="20"/>
            </w:pPr>
            <w:r>
              <w:rPr>
                <w:sz w:val="16"/>
              </w:rPr>
              <w:t>Matches recorded baseline</w:t>
            </w:r>
          </w:p>
        </w:tc>
      </w:tr>
      <w:tr>
        <w:tc>
          <w:tcPr>
            <w:tcW w:type="dxa" w:w="3408"/>
            <w:shd w:fill="F2F6FA"/>
            <w:shd w:fill="F2F6FA"/>
            <w:shd w:fill="F2F6FA"/>
          </w:tcPr>
          <w:p>
            <w:pPr>
              <w:spacing w:after="20"/>
            </w:pPr>
            <w:r>
              <w:rPr>
                <w:sz w:val="16"/>
              </w:rPr>
              <w:t>gold.fact_shipment</w:t>
            </w:r>
          </w:p>
        </w:tc>
        <w:tc>
          <w:tcPr>
            <w:tcW w:type="dxa" w:w="3408"/>
            <w:shd w:fill="F2F6FA"/>
            <w:shd w:fill="F2F6FA"/>
            <w:shd w:fill="F2F6FA"/>
          </w:tcPr>
          <w:p>
            <w:pPr>
              <w:spacing w:after="20"/>
            </w:pPr>
            <w:r>
              <w:rPr>
                <w:sz w:val="16"/>
              </w:rPr>
              <w:t>1,467</w:t>
            </w:r>
          </w:p>
        </w:tc>
        <w:tc>
          <w:tcPr>
            <w:tcW w:type="dxa" w:w="3408"/>
            <w:shd w:fill="F2F6FA"/>
            <w:shd w:fill="F2F6FA"/>
            <w:shd w:fill="F2F6FA"/>
          </w:tcPr>
          <w:p>
            <w:pPr>
              <w:spacing w:after="20"/>
            </w:pPr>
            <w:r>
              <w:rPr>
                <w:sz w:val="16"/>
              </w:rPr>
              <w:t>Matches recorded baseline</w:t>
            </w:r>
          </w:p>
        </w:tc>
      </w:tr>
      <w:tr>
        <w:tc>
          <w:tcPr>
            <w:tcW w:type="dxa" w:w="3408"/>
          </w:tcPr>
          <w:p>
            <w:pPr>
              <w:spacing w:after="20"/>
            </w:pPr>
            <w:r>
              <w:rPr>
                <w:sz w:val="16"/>
              </w:rPr>
              <w:t>gold.fact_shipment_tracking</w:t>
            </w:r>
          </w:p>
        </w:tc>
        <w:tc>
          <w:tcPr>
            <w:tcW w:type="dxa" w:w="3408"/>
          </w:tcPr>
          <w:p>
            <w:pPr>
              <w:spacing w:after="20"/>
            </w:pPr>
            <w:r>
              <w:rPr>
                <w:sz w:val="16"/>
              </w:rPr>
              <w:t>2,000</w:t>
            </w:r>
          </w:p>
        </w:tc>
        <w:tc>
          <w:tcPr>
            <w:tcW w:type="dxa" w:w="3408"/>
          </w:tcPr>
          <w:p>
            <w:pPr>
              <w:spacing w:after="20"/>
            </w:pPr>
            <w:r>
              <w:rPr>
                <w:sz w:val="16"/>
              </w:rPr>
              <w:t>Matches recorded baseline</w:t>
            </w:r>
          </w:p>
        </w:tc>
      </w:tr>
    </w:tbl>
    <w:p/>
    <w:p>
      <w:r>
        <w:t>The Gold query returned all 15 expected tables, with row counts matching previously recorded baselines.</w:t>
      </w:r>
    </w:p>
    <w:p>
      <w:pPr>
        <w:pStyle w:val="Heading1"/>
      </w:pPr>
      <w:r>
        <w:t>5. Referential Integrity — Checks Executed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6"/>
              </w:rPr>
              <w:t>Relationship</w:t>
            </w:r>
          </w:p>
        </w:tc>
        <w:tc>
          <w:tcPr>
            <w:tcW w:type="dxa" w:w="2045"/>
            <w:shd w:fill="17365D"/>
          </w:tcPr>
          <w:p>
            <w:r>
              <w:rPr>
                <w:b/>
                <w:color w:val="FFFFFF"/>
                <w:sz w:val="16"/>
              </w:rPr>
              <w:t>Rows checked</w:t>
            </w:r>
          </w:p>
        </w:tc>
        <w:tc>
          <w:tcPr>
            <w:tcW w:type="dxa" w:w="2045"/>
            <w:shd w:fill="17365D"/>
          </w:tcPr>
          <w:p>
            <w:r>
              <w:rPr>
                <w:b/>
                <w:color w:val="FFFFFF"/>
                <w:sz w:val="16"/>
              </w:rPr>
              <w:t>Missing keys</w:t>
            </w:r>
          </w:p>
        </w:tc>
        <w:tc>
          <w:tcPr>
            <w:tcW w:type="dxa" w:w="2045"/>
            <w:shd w:fill="17365D"/>
          </w:tcPr>
          <w:p>
            <w:r>
              <w:rPr>
                <w:b/>
                <w:color w:val="FFFFFF"/>
                <w:sz w:val="16"/>
              </w:rPr>
              <w:t>Unmatched keys</w:t>
            </w:r>
          </w:p>
        </w:tc>
        <w:tc>
          <w:tcPr>
            <w:tcW w:type="dxa" w:w="2045"/>
            <w:shd w:fill="17365D"/>
          </w:tcPr>
          <w:p>
            <w:r>
              <w:rPr>
                <w:b/>
                <w:color w:val="FFFFFF"/>
                <w:sz w:val="16"/>
              </w:rPr>
              <w:t>Result</w:t>
            </w:r>
          </w:p>
        </w:tc>
      </w:tr>
      <w:tr>
        <w:tc>
          <w:tcPr>
            <w:tcW w:type="dxa" w:w="2045"/>
          </w:tcPr>
          <w:p>
            <w:pPr>
              <w:spacing w:after="20"/>
            </w:pPr>
            <w:r>
              <w:rPr>
                <w:sz w:val="16"/>
              </w:rPr>
              <w:t>fact_shipment → dim_customer</w:t>
            </w:r>
          </w:p>
        </w:tc>
        <w:tc>
          <w:tcPr>
            <w:tcW w:type="dxa" w:w="2045"/>
          </w:tcPr>
          <w:p>
            <w:pPr>
              <w:spacing w:after="20"/>
            </w:pPr>
            <w:r>
              <w:rPr>
                <w:sz w:val="16"/>
              </w:rPr>
              <w:t>1,467</w:t>
            </w:r>
          </w:p>
        </w:tc>
        <w:tc>
          <w:tcPr>
            <w:tcW w:type="dxa" w:w="2045"/>
          </w:tcPr>
          <w:p>
            <w:pPr>
              <w:spacing w:after="20"/>
            </w:pPr>
            <w:r>
              <w:rPr>
                <w:sz w:val="16"/>
              </w:rPr>
              <w:t>0</w:t>
            </w:r>
          </w:p>
        </w:tc>
        <w:tc>
          <w:tcPr>
            <w:tcW w:type="dxa" w:w="2045"/>
          </w:tcPr>
          <w:p>
            <w:pPr>
              <w:spacing w:after="20"/>
            </w:pPr>
            <w:r>
              <w:rPr>
                <w:sz w:val="16"/>
              </w:rPr>
              <w:t>0</w:t>
            </w:r>
          </w:p>
        </w:tc>
        <w:tc>
          <w:tcPr>
            <w:tcW w:type="dxa" w:w="2045"/>
          </w:tcPr>
          <w:p>
            <w:pPr>
              <w:spacing w:after="20"/>
            </w:pPr>
            <w:r>
              <w:rPr>
                <w:sz w:val="16"/>
              </w:rPr>
              <w:t>Pass for tested relationship</w:t>
            </w:r>
          </w:p>
        </w:tc>
      </w:tr>
      <w:tr>
        <w:tc>
          <w:tcPr>
            <w:tcW w:type="dxa" w:w="2045"/>
            <w:shd w:fill="F2F6FA"/>
            <w:shd w:fill="F2F6FA"/>
            <w:shd w:fill="F2F6FA"/>
            <w:shd w:fill="F2F6FA"/>
            <w:shd w:fill="F2F6FA"/>
          </w:tcPr>
          <w:p>
            <w:pPr>
              <w:spacing w:after="20"/>
            </w:pPr>
            <w:r>
              <w:rPr>
                <w:sz w:val="16"/>
              </w:rPr>
              <w:t>fact_shipment → dim_vehicle</w:t>
            </w:r>
          </w:p>
        </w:tc>
        <w:tc>
          <w:tcPr>
            <w:tcW w:type="dxa" w:w="2045"/>
            <w:shd w:fill="F2F6FA"/>
            <w:shd w:fill="F2F6FA"/>
            <w:shd w:fill="F2F6FA"/>
            <w:shd w:fill="F2F6FA"/>
            <w:shd w:fill="F2F6FA"/>
          </w:tcPr>
          <w:p>
            <w:pPr>
              <w:spacing w:after="20"/>
            </w:pPr>
            <w:r>
              <w:rPr>
                <w:sz w:val="16"/>
              </w:rPr>
              <w:t>1,467</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Pass for tested relationship</w:t>
            </w:r>
          </w:p>
        </w:tc>
      </w:tr>
      <w:tr>
        <w:tc>
          <w:tcPr>
            <w:tcW w:type="dxa" w:w="2045"/>
          </w:tcPr>
          <w:p>
            <w:pPr>
              <w:spacing w:after="20"/>
            </w:pPr>
            <w:r>
              <w:rPr>
                <w:sz w:val="16"/>
              </w:rPr>
              <w:t>fact_shipment → dim_warehouse</w:t>
            </w:r>
          </w:p>
        </w:tc>
        <w:tc>
          <w:tcPr>
            <w:tcW w:type="dxa" w:w="2045"/>
          </w:tcPr>
          <w:p>
            <w:pPr>
              <w:spacing w:after="20"/>
            </w:pPr>
            <w:r>
              <w:rPr>
                <w:sz w:val="16"/>
              </w:rPr>
              <w:t>1,467</w:t>
            </w:r>
          </w:p>
        </w:tc>
        <w:tc>
          <w:tcPr>
            <w:tcW w:type="dxa" w:w="2045"/>
          </w:tcPr>
          <w:p>
            <w:pPr>
              <w:spacing w:after="20"/>
            </w:pPr>
            <w:r>
              <w:rPr>
                <w:sz w:val="16"/>
              </w:rPr>
              <w:t>0</w:t>
            </w:r>
          </w:p>
        </w:tc>
        <w:tc>
          <w:tcPr>
            <w:tcW w:type="dxa" w:w="2045"/>
          </w:tcPr>
          <w:p>
            <w:pPr>
              <w:spacing w:after="20"/>
            </w:pPr>
            <w:r>
              <w:rPr>
                <w:sz w:val="16"/>
              </w:rPr>
              <w:t>0</w:t>
            </w:r>
          </w:p>
        </w:tc>
        <w:tc>
          <w:tcPr>
            <w:tcW w:type="dxa" w:w="2045"/>
          </w:tcPr>
          <w:p>
            <w:pPr>
              <w:spacing w:after="20"/>
            </w:pPr>
            <w:r>
              <w:rPr>
                <w:sz w:val="16"/>
              </w:rPr>
              <w:t>Pass for tested relationship</w:t>
            </w:r>
          </w:p>
        </w:tc>
      </w:tr>
      <w:tr>
        <w:tc>
          <w:tcPr>
            <w:tcW w:type="dxa" w:w="2045"/>
            <w:shd w:fill="F2F6FA"/>
            <w:shd w:fill="F2F6FA"/>
            <w:shd w:fill="F2F6FA"/>
            <w:shd w:fill="F2F6FA"/>
            <w:shd w:fill="F2F6FA"/>
          </w:tcPr>
          <w:p>
            <w:pPr>
              <w:spacing w:after="20"/>
            </w:pPr>
            <w:r>
              <w:rPr>
                <w:sz w:val="16"/>
              </w:rPr>
              <w:t>fact_order → dim_customer</w:t>
            </w:r>
          </w:p>
        </w:tc>
        <w:tc>
          <w:tcPr>
            <w:tcW w:type="dxa" w:w="2045"/>
            <w:shd w:fill="F2F6FA"/>
            <w:shd w:fill="F2F6FA"/>
            <w:shd w:fill="F2F6FA"/>
            <w:shd w:fill="F2F6FA"/>
            <w:shd w:fill="F2F6FA"/>
          </w:tcPr>
          <w:p>
            <w:pPr>
              <w:spacing w:after="20"/>
            </w:pPr>
            <w:r>
              <w:rPr>
                <w:sz w:val="16"/>
              </w:rPr>
              <w:t>1,200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Pass for tested relationship</w:t>
            </w:r>
          </w:p>
        </w:tc>
      </w:tr>
      <w:tr>
        <w:tc>
          <w:tcPr>
            <w:tcW w:type="dxa" w:w="2045"/>
          </w:tcPr>
          <w:p>
            <w:pPr>
              <w:spacing w:after="20"/>
            </w:pPr>
            <w:r>
              <w:rPr>
                <w:sz w:val="16"/>
              </w:rPr>
              <w:t>fact_order → dim_product</w:t>
            </w:r>
          </w:p>
        </w:tc>
        <w:tc>
          <w:tcPr>
            <w:tcW w:type="dxa" w:w="2045"/>
          </w:tcPr>
          <w:p>
            <w:pPr>
              <w:spacing w:after="20"/>
            </w:pPr>
            <w:r>
              <w:rPr>
                <w:sz w:val="16"/>
              </w:rPr>
              <w:t>1,200</w:t>
            </w:r>
          </w:p>
        </w:tc>
        <w:tc>
          <w:tcPr>
            <w:tcW w:type="dxa" w:w="2045"/>
          </w:tcPr>
          <w:p>
            <w:pPr>
              <w:spacing w:after="20"/>
            </w:pPr>
            <w:r>
              <w:rPr>
                <w:sz w:val="16"/>
              </w:rPr>
              <w:t>0</w:t>
            </w:r>
          </w:p>
        </w:tc>
        <w:tc>
          <w:tcPr>
            <w:tcW w:type="dxa" w:w="2045"/>
          </w:tcPr>
          <w:p>
            <w:pPr>
              <w:spacing w:after="20"/>
            </w:pPr>
            <w:r>
              <w:rPr>
                <w:sz w:val="16"/>
              </w:rPr>
              <w:t>0</w:t>
            </w:r>
          </w:p>
        </w:tc>
        <w:tc>
          <w:tcPr>
            <w:tcW w:type="dxa" w:w="2045"/>
          </w:tcPr>
          <w:p>
            <w:pPr>
              <w:spacing w:after="20"/>
            </w:pPr>
            <w:r>
              <w:rPr>
                <w:sz w:val="16"/>
              </w:rPr>
              <w:t>Pass for tested relationship</w:t>
            </w:r>
          </w:p>
        </w:tc>
      </w:tr>
      <w:tr>
        <w:tc>
          <w:tcPr>
            <w:tcW w:type="dxa" w:w="2045"/>
            <w:shd w:fill="F2F6FA"/>
            <w:shd w:fill="F2F6FA"/>
            <w:shd w:fill="F2F6FA"/>
            <w:shd w:fill="F2F6FA"/>
            <w:shd w:fill="F2F6FA"/>
          </w:tcPr>
          <w:p>
            <w:pPr>
              <w:spacing w:after="20"/>
            </w:pPr>
            <w:r>
              <w:rPr>
                <w:sz w:val="16"/>
              </w:rPr>
              <w:t>fact_inventory_snapshot → dim_warehouse</w:t>
            </w:r>
          </w:p>
        </w:tc>
        <w:tc>
          <w:tcPr>
            <w:tcW w:type="dxa" w:w="2045"/>
            <w:shd w:fill="F2F6FA"/>
            <w:shd w:fill="F2F6FA"/>
            <w:shd w:fill="F2F6FA"/>
            <w:shd w:fill="F2F6FA"/>
            <w:shd w:fill="F2F6FA"/>
          </w:tcPr>
          <w:p>
            <w:pPr>
              <w:spacing w:after="20"/>
            </w:pPr>
            <w:r>
              <w:rPr>
                <w:sz w:val="16"/>
              </w:rPr>
              <w:t>1,291</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Pass for tested relationship</w:t>
            </w:r>
          </w:p>
        </w:tc>
      </w:tr>
      <w:tr>
        <w:tc>
          <w:tcPr>
            <w:tcW w:type="dxa" w:w="2045"/>
          </w:tcPr>
          <w:p>
            <w:pPr>
              <w:spacing w:after="20"/>
            </w:pPr>
            <w:r>
              <w:rPr>
                <w:sz w:val="16"/>
              </w:rPr>
              <w:t>fact_inventory_snapshot → dim_product</w:t>
            </w:r>
          </w:p>
        </w:tc>
        <w:tc>
          <w:tcPr>
            <w:tcW w:type="dxa" w:w="2045"/>
          </w:tcPr>
          <w:p>
            <w:pPr>
              <w:spacing w:after="20"/>
            </w:pPr>
            <w:r>
              <w:rPr>
                <w:sz w:val="16"/>
              </w:rPr>
              <w:t>1,291</w:t>
            </w:r>
          </w:p>
        </w:tc>
        <w:tc>
          <w:tcPr>
            <w:tcW w:type="dxa" w:w="2045"/>
          </w:tcPr>
          <w:p>
            <w:pPr>
              <w:spacing w:after="20"/>
            </w:pPr>
            <w:r>
              <w:rPr>
                <w:sz w:val="16"/>
              </w:rPr>
              <w:t>0</w:t>
            </w:r>
          </w:p>
        </w:tc>
        <w:tc>
          <w:tcPr>
            <w:tcW w:type="dxa" w:w="2045"/>
          </w:tcPr>
          <w:p>
            <w:pPr>
              <w:spacing w:after="20"/>
            </w:pPr>
            <w:r>
              <w:rPr>
                <w:sz w:val="16"/>
              </w:rPr>
              <w:t>0</w:t>
            </w:r>
          </w:p>
        </w:tc>
        <w:tc>
          <w:tcPr>
            <w:tcW w:type="dxa" w:w="2045"/>
          </w:tcPr>
          <w:p>
            <w:pPr>
              <w:spacing w:after="20"/>
            </w:pPr>
            <w:r>
              <w:rPr>
                <w:sz w:val="16"/>
              </w:rPr>
              <w:t>Pass for tested relationship</w:t>
            </w:r>
          </w:p>
        </w:tc>
      </w:tr>
      <w:tr>
        <w:tc>
          <w:tcPr>
            <w:tcW w:type="dxa" w:w="2045"/>
            <w:shd w:fill="F2F6FA"/>
            <w:shd w:fill="F2F6FA"/>
            <w:shd w:fill="F2F6FA"/>
            <w:shd w:fill="F2F6FA"/>
            <w:shd w:fill="F2F6FA"/>
          </w:tcPr>
          <w:p>
            <w:pPr>
              <w:spacing w:after="20"/>
            </w:pPr>
            <w:r>
              <w:rPr>
                <w:sz w:val="16"/>
              </w:rPr>
              <w:t>fact_inventory_movement → dim_product</w:t>
            </w:r>
          </w:p>
        </w:tc>
        <w:tc>
          <w:tcPr>
            <w:tcW w:type="dxa" w:w="2045"/>
            <w:shd w:fill="F2F6FA"/>
            <w:shd w:fill="F2F6FA"/>
            <w:shd w:fill="F2F6FA"/>
            <w:shd w:fill="F2F6FA"/>
            <w:shd w:fill="F2F6FA"/>
          </w:tcPr>
          <w:p>
            <w:pPr>
              <w:spacing w:after="20"/>
            </w:pPr>
            <w:r>
              <w:rPr>
                <w:sz w:val="16"/>
              </w:rPr>
              <w:t>1,400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Pass for tested relationship</w:t>
            </w:r>
          </w:p>
        </w:tc>
      </w:tr>
      <w:tr>
        <w:tc>
          <w:tcPr>
            <w:tcW w:type="dxa" w:w="2045"/>
          </w:tcPr>
          <w:p>
            <w:pPr>
              <w:spacing w:after="20"/>
            </w:pPr>
            <w:r>
              <w:rPr>
                <w:sz w:val="16"/>
              </w:rPr>
              <w:t>fact_purchase_order → dim_supplier</w:t>
            </w:r>
          </w:p>
        </w:tc>
        <w:tc>
          <w:tcPr>
            <w:tcW w:type="dxa" w:w="2045"/>
          </w:tcPr>
          <w:p>
            <w:pPr>
              <w:spacing w:after="20"/>
            </w:pPr>
            <w:r>
              <w:rPr>
                <w:sz w:val="16"/>
              </w:rPr>
              <w:t>1,100</w:t>
            </w:r>
          </w:p>
        </w:tc>
        <w:tc>
          <w:tcPr>
            <w:tcW w:type="dxa" w:w="2045"/>
          </w:tcPr>
          <w:p>
            <w:pPr>
              <w:spacing w:after="20"/>
            </w:pPr>
            <w:r>
              <w:rPr>
                <w:sz w:val="16"/>
              </w:rPr>
              <w:t>0</w:t>
            </w:r>
          </w:p>
        </w:tc>
        <w:tc>
          <w:tcPr>
            <w:tcW w:type="dxa" w:w="2045"/>
          </w:tcPr>
          <w:p>
            <w:pPr>
              <w:spacing w:after="20"/>
            </w:pPr>
            <w:r>
              <w:rPr>
                <w:sz w:val="16"/>
              </w:rPr>
              <w:t>0</w:t>
            </w:r>
          </w:p>
        </w:tc>
        <w:tc>
          <w:tcPr>
            <w:tcW w:type="dxa" w:w="2045"/>
          </w:tcPr>
          <w:p>
            <w:pPr>
              <w:spacing w:after="20"/>
            </w:pPr>
            <w:r>
              <w:rPr>
                <w:sz w:val="16"/>
              </w:rPr>
              <w:t>Pass for tested relationship</w:t>
            </w:r>
          </w:p>
        </w:tc>
      </w:tr>
      <w:tr>
        <w:tc>
          <w:tcPr>
            <w:tcW w:type="dxa" w:w="2045"/>
            <w:shd w:fill="F2F6FA"/>
            <w:shd w:fill="F2F6FA"/>
            <w:shd w:fill="F2F6FA"/>
            <w:shd w:fill="F2F6FA"/>
            <w:shd w:fill="F2F6FA"/>
          </w:tcPr>
          <w:p>
            <w:pPr>
              <w:spacing w:after="20"/>
            </w:pPr>
            <w:r>
              <w:rPr>
                <w:sz w:val="16"/>
              </w:rPr>
              <w:t>fact_purchase_order → dim_product</w:t>
            </w:r>
          </w:p>
        </w:tc>
        <w:tc>
          <w:tcPr>
            <w:tcW w:type="dxa" w:w="2045"/>
            <w:shd w:fill="F2F6FA"/>
            <w:shd w:fill="F2F6FA"/>
            <w:shd w:fill="F2F6FA"/>
            <w:shd w:fill="F2F6FA"/>
            <w:shd w:fill="F2F6FA"/>
          </w:tcPr>
          <w:p>
            <w:pPr>
              <w:spacing w:after="20"/>
            </w:pPr>
            <w:r>
              <w:rPr>
                <w:sz w:val="16"/>
              </w:rPr>
              <w:t>1,100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0</w:t>
            </w:r>
          </w:p>
        </w:tc>
        <w:tc>
          <w:tcPr>
            <w:tcW w:type="dxa" w:w="2045"/>
            <w:shd w:fill="F2F6FA"/>
            <w:shd w:fill="F2F6FA"/>
            <w:shd w:fill="F2F6FA"/>
            <w:shd w:fill="F2F6FA"/>
            <w:shd w:fill="F2F6FA"/>
          </w:tcPr>
          <w:p>
            <w:pPr>
              <w:spacing w:after="20"/>
            </w:pPr>
            <w:r>
              <w:rPr>
                <w:sz w:val="16"/>
              </w:rPr>
              <w:t>Pass for tested relationship</w:t>
            </w:r>
          </w:p>
        </w:tc>
      </w:tr>
    </w:tbl>
    <w:p/>
    <w:p>
      <w:r>
        <w:t>The ten tested fact-to-dimension relationships returned zero missing and zero unmatched keys. This result applies only to the listed relationships; other fact relationships remain to be checked.</w:t>
      </w:r>
    </w:p>
    <w:p>
      <w:pPr>
        <w:pStyle w:val="Heading1"/>
      </w:pPr>
      <w:r>
        <w:t>6. Known Exception: Inventory Movement Warehouse Reference</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Measure</w:t>
            </w:r>
          </w:p>
        </w:tc>
        <w:tc>
          <w:tcPr>
            <w:tcW w:type="dxa" w:w="5112"/>
            <w:shd w:fill="17365D"/>
          </w:tcPr>
          <w:p>
            <w:r>
              <w:rPr>
                <w:b/>
                <w:color w:val="FFFFFF"/>
                <w:sz w:val="16"/>
              </w:rPr>
              <w:t>Observed value</w:t>
            </w:r>
          </w:p>
        </w:tc>
      </w:tr>
      <w:tr>
        <w:tc>
          <w:tcPr>
            <w:tcW w:type="dxa" w:w="5112"/>
          </w:tcPr>
          <w:p>
            <w:pPr>
              <w:spacing w:after="20"/>
            </w:pPr>
            <w:r>
              <w:rPr>
                <w:sz w:val="16"/>
              </w:rPr>
              <w:t>Total rows in gold.fact_inventory_movement</w:t>
            </w:r>
          </w:p>
        </w:tc>
        <w:tc>
          <w:tcPr>
            <w:tcW w:type="dxa" w:w="5112"/>
          </w:tcPr>
          <w:p>
            <w:pPr>
              <w:spacing w:after="20"/>
            </w:pPr>
            <w:r>
              <w:rPr>
                <w:sz w:val="16"/>
              </w:rPr>
              <w:t>1,400</w:t>
            </w:r>
          </w:p>
        </w:tc>
      </w:tr>
      <w:tr>
        <w:tc>
          <w:tcPr>
            <w:tcW w:type="dxa" w:w="5112"/>
            <w:shd w:fill="F2F6FA"/>
            <w:shd w:fill="F2F6FA"/>
          </w:tcPr>
          <w:p>
            <w:pPr>
              <w:spacing w:after="20"/>
            </w:pPr>
            <w:r>
              <w:rPr>
                <w:sz w:val="16"/>
              </w:rPr>
              <w:t>Rows where warehouse_key IS NULL</w:t>
            </w:r>
          </w:p>
        </w:tc>
        <w:tc>
          <w:tcPr>
            <w:tcW w:type="dxa" w:w="5112"/>
            <w:shd w:fill="F2F6FA"/>
            <w:shd w:fill="F2F6FA"/>
          </w:tcPr>
          <w:p>
            <w:pPr>
              <w:spacing w:after="20"/>
            </w:pPr>
            <w:r>
              <w:rPr>
                <w:sz w:val="16"/>
              </w:rPr>
              <w:t>66</w:t>
            </w:r>
          </w:p>
        </w:tc>
      </w:tr>
      <w:tr>
        <w:tc>
          <w:tcPr>
            <w:tcW w:type="dxa" w:w="5112"/>
          </w:tcPr>
          <w:p>
            <w:pPr>
              <w:spacing w:after="20"/>
            </w:pPr>
            <w:r>
              <w:rPr>
                <w:sz w:val="16"/>
              </w:rPr>
              <w:t>Rows with non-NULL warehouse_key</w:t>
            </w:r>
          </w:p>
        </w:tc>
        <w:tc>
          <w:tcPr>
            <w:tcW w:type="dxa" w:w="5112"/>
          </w:tcPr>
          <w:p>
            <w:pPr>
              <w:spacing w:after="20"/>
            </w:pPr>
            <w:r>
              <w:rPr>
                <w:sz w:val="16"/>
              </w:rPr>
              <w:t>1,334</w:t>
            </w:r>
          </w:p>
        </w:tc>
      </w:tr>
      <w:tr>
        <w:tc>
          <w:tcPr>
            <w:tcW w:type="dxa" w:w="5112"/>
            <w:shd w:fill="F2F6FA"/>
            <w:shd w:fill="F2F6FA"/>
          </w:tcPr>
          <w:p>
            <w:pPr>
              <w:spacing w:after="20"/>
            </w:pPr>
            <w:r>
              <w:rPr>
                <w:sz w:val="16"/>
              </w:rPr>
              <w:t>Accounted for</w:t>
            </w:r>
          </w:p>
        </w:tc>
        <w:tc>
          <w:tcPr>
            <w:tcW w:type="dxa" w:w="5112"/>
            <w:shd w:fill="F2F6FA"/>
            <w:shd w:fill="F2F6FA"/>
          </w:tcPr>
          <w:p>
            <w:pPr>
              <w:spacing w:after="20"/>
            </w:pPr>
            <w:r>
              <w:rPr>
                <w:sz w:val="16"/>
              </w:rPr>
              <w:t>1,334 + 66 = 1,400</w:t>
            </w:r>
          </w:p>
        </w:tc>
      </w:tr>
    </w:tbl>
    <w:p/>
    <w:p>
      <w:r>
        <w:t>Disposition: retain the 66 records as a documented exception until the missing/unmatched warehouse identifiers are resolved by the data owner. Do not fabricate warehouse keys. The warehouse_key column was reported as double precision, unlike the bigint warehouse_key in other fact tables; investigate this inconsistency before any schema change.</w:t>
      </w:r>
    </w:p>
    <w:p>
      <w:pPr>
        <w:pStyle w:val="Heading1"/>
      </w:pPr>
      <w:r>
        <w:t>7. Current Assessment</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Area</w:t>
            </w:r>
          </w:p>
        </w:tc>
        <w:tc>
          <w:tcPr>
            <w:tcW w:type="dxa" w:w="3408"/>
            <w:shd w:fill="17365D"/>
          </w:tcPr>
          <w:p>
            <w:r>
              <w:rPr>
                <w:b/>
                <w:color w:val="FFFFFF"/>
                <w:sz w:val="16"/>
              </w:rPr>
              <w:t>Assessment</w:t>
            </w:r>
          </w:p>
        </w:tc>
        <w:tc>
          <w:tcPr>
            <w:tcW w:type="dxa" w:w="3408"/>
            <w:shd w:fill="17365D"/>
          </w:tcPr>
          <w:p>
            <w:r>
              <w:rPr>
                <w:b/>
                <w:color w:val="FFFFFF"/>
                <w:sz w:val="16"/>
              </w:rPr>
              <w:t>Caveat</w:t>
            </w:r>
          </w:p>
        </w:tc>
      </w:tr>
      <w:tr>
        <w:tc>
          <w:tcPr>
            <w:tcW w:type="dxa" w:w="3408"/>
          </w:tcPr>
          <w:p>
            <w:pPr>
              <w:spacing w:after="20"/>
            </w:pPr>
            <w:r>
              <w:rPr>
                <w:sz w:val="16"/>
              </w:rPr>
              <w:t>Staging table presence and counts</w:t>
            </w:r>
          </w:p>
        </w:tc>
        <w:tc>
          <w:tcPr>
            <w:tcW w:type="dxa" w:w="3408"/>
          </w:tcPr>
          <w:p>
            <w:pPr>
              <w:spacing w:after="20"/>
            </w:pPr>
            <w:r>
              <w:rPr>
                <w:sz w:val="16"/>
              </w:rPr>
              <w:t>Verified from supplied PostgreSQL screenshots</w:t>
            </w:r>
          </w:p>
        </w:tc>
        <w:tc>
          <w:tcPr>
            <w:tcW w:type="dxa" w:w="3408"/>
          </w:tcPr>
          <w:p>
            <w:pPr>
              <w:spacing w:after="20"/>
            </w:pPr>
            <w:r>
              <w:rPr>
                <w:sz w:val="16"/>
              </w:rPr>
              <w:t>No field-level comparison or rerun/idempotency proof.</w:t>
            </w:r>
          </w:p>
        </w:tc>
      </w:tr>
      <w:tr>
        <w:tc>
          <w:tcPr>
            <w:tcW w:type="dxa" w:w="3408"/>
            <w:shd w:fill="F2F6FA"/>
            <w:shd w:fill="F2F6FA"/>
            <w:shd w:fill="F2F6FA"/>
          </w:tcPr>
          <w:p>
            <w:pPr>
              <w:spacing w:after="20"/>
            </w:pPr>
            <w:r>
              <w:rPr>
                <w:sz w:val="16"/>
              </w:rPr>
              <w:t>Gold table row counts</w:t>
            </w:r>
          </w:p>
        </w:tc>
        <w:tc>
          <w:tcPr>
            <w:tcW w:type="dxa" w:w="3408"/>
            <w:shd w:fill="F2F6FA"/>
            <w:shd w:fill="F2F6FA"/>
            <w:shd w:fill="F2F6FA"/>
          </w:tcPr>
          <w:p>
            <w:pPr>
              <w:spacing w:after="20"/>
            </w:pPr>
            <w:r>
              <w:rPr>
                <w:sz w:val="16"/>
              </w:rPr>
              <w:t>Verified from supplied PostgreSQL screenshot</w:t>
            </w:r>
          </w:p>
        </w:tc>
        <w:tc>
          <w:tcPr>
            <w:tcW w:type="dxa" w:w="3408"/>
            <w:shd w:fill="F2F6FA"/>
            <w:shd w:fill="F2F6FA"/>
            <w:shd w:fill="F2F6FA"/>
          </w:tcPr>
          <w:p>
            <w:pPr>
              <w:spacing w:after="20"/>
            </w:pPr>
            <w:r>
              <w:rPr>
                <w:sz w:val="16"/>
              </w:rPr>
              <w:t>Counts match recorded baselines.</w:t>
            </w:r>
          </w:p>
        </w:tc>
      </w:tr>
      <w:tr>
        <w:tc>
          <w:tcPr>
            <w:tcW w:type="dxa" w:w="3408"/>
          </w:tcPr>
          <w:p>
            <w:pPr>
              <w:spacing w:after="20"/>
            </w:pPr>
            <w:r>
              <w:rPr>
                <w:sz w:val="16"/>
              </w:rPr>
              <w:t>Ten selected referential-integrity relationships</w:t>
            </w:r>
          </w:p>
        </w:tc>
        <w:tc>
          <w:tcPr>
            <w:tcW w:type="dxa" w:w="3408"/>
          </w:tcPr>
          <w:p>
            <w:pPr>
              <w:spacing w:after="20"/>
            </w:pPr>
            <w:r>
              <w:rPr>
                <w:sz w:val="16"/>
              </w:rPr>
              <w:t>Pass</w:t>
            </w:r>
          </w:p>
        </w:tc>
        <w:tc>
          <w:tcPr>
            <w:tcW w:type="dxa" w:w="3408"/>
          </w:tcPr>
          <w:p>
            <w:pPr>
              <w:spacing w:after="20"/>
            </w:pPr>
            <w:r>
              <w:rPr>
                <w:sz w:val="16"/>
              </w:rPr>
              <w:t>Other fact relationships remain to be checked.</w:t>
            </w:r>
          </w:p>
        </w:tc>
      </w:tr>
      <w:tr>
        <w:tc>
          <w:tcPr>
            <w:tcW w:type="dxa" w:w="3408"/>
            <w:shd w:fill="F2F6FA"/>
            <w:shd w:fill="F2F6FA"/>
            <w:shd w:fill="F2F6FA"/>
          </w:tcPr>
          <w:p>
            <w:pPr>
              <w:spacing w:after="20"/>
            </w:pPr>
            <w:r>
              <w:rPr>
                <w:sz w:val="16"/>
              </w:rPr>
              <w:t>Inventory movement warehouse references</w:t>
            </w:r>
          </w:p>
        </w:tc>
        <w:tc>
          <w:tcPr>
            <w:tcW w:type="dxa" w:w="3408"/>
            <w:shd w:fill="F2F6FA"/>
            <w:shd w:fill="F2F6FA"/>
            <w:shd w:fill="F2F6FA"/>
          </w:tcPr>
          <w:p>
            <w:pPr>
              <w:spacing w:after="20"/>
            </w:pPr>
            <w:r>
              <w:rPr>
                <w:sz w:val="16"/>
              </w:rPr>
              <w:t>Known exception</w:t>
            </w:r>
          </w:p>
        </w:tc>
        <w:tc>
          <w:tcPr>
            <w:tcW w:type="dxa" w:w="3408"/>
            <w:shd w:fill="F2F6FA"/>
            <w:shd w:fill="F2F6FA"/>
            <w:shd w:fill="F2F6FA"/>
          </w:tcPr>
          <w:p>
            <w:pPr>
              <w:spacing w:after="20"/>
            </w:pPr>
            <w:r>
              <w:rPr>
                <w:sz w:val="16"/>
              </w:rPr>
              <w:t>66 NULL warehouse keys; business resolution pending.</w:t>
            </w:r>
          </w:p>
        </w:tc>
      </w:tr>
      <w:tr>
        <w:tc>
          <w:tcPr>
            <w:tcW w:type="dxa" w:w="3408"/>
          </w:tcPr>
          <w:p>
            <w:pPr>
              <w:spacing w:after="20"/>
            </w:pPr>
            <w:r>
              <w:rPr>
                <w:sz w:val="16"/>
              </w:rPr>
              <w:t>Silver row counts</w:t>
            </w:r>
          </w:p>
        </w:tc>
        <w:tc>
          <w:tcPr>
            <w:tcW w:type="dxa" w:w="3408"/>
          </w:tcPr>
          <w:p>
            <w:pPr>
              <w:spacing w:after="20"/>
            </w:pPr>
            <w:r>
              <w:rPr>
                <w:sz w:val="16"/>
              </w:rPr>
              <w:t>Historical baseline</w:t>
            </w:r>
          </w:p>
        </w:tc>
        <w:tc>
          <w:tcPr>
            <w:tcW w:type="dxa" w:w="3408"/>
          </w:tcPr>
          <w:p>
            <w:pPr>
              <w:spacing w:after="20"/>
            </w:pPr>
            <w:r>
              <w:rPr>
                <w:sz w:val="16"/>
              </w:rPr>
              <w:t>Not freshly queried in this evidence capture.</w:t>
            </w:r>
          </w:p>
        </w:tc>
      </w:tr>
      <w:tr>
        <w:tc>
          <w:tcPr>
            <w:tcW w:type="dxa" w:w="3408"/>
            <w:shd w:fill="F2F6FA"/>
            <w:shd w:fill="F2F6FA"/>
            <w:shd w:fill="F2F6FA"/>
          </w:tcPr>
          <w:p>
            <w:pPr>
              <w:spacing w:after="20"/>
            </w:pPr>
            <w:r>
              <w:rPr>
                <w:sz w:val="16"/>
              </w:rPr>
              <w:t>Source-to-target measure reconciliation</w:t>
            </w:r>
          </w:p>
        </w:tc>
        <w:tc>
          <w:tcPr>
            <w:tcW w:type="dxa" w:w="3408"/>
            <w:shd w:fill="F2F6FA"/>
            <w:shd w:fill="F2F6FA"/>
            <w:shd w:fill="F2F6FA"/>
          </w:tcPr>
          <w:p>
            <w:pPr>
              <w:spacing w:after="20"/>
            </w:pPr>
            <w:r>
              <w:rPr>
                <w:sz w:val="16"/>
              </w:rPr>
              <w:t>Pending</w:t>
            </w:r>
          </w:p>
        </w:tc>
        <w:tc>
          <w:tcPr>
            <w:tcW w:type="dxa" w:w="3408"/>
            <w:shd w:fill="F2F6FA"/>
            <w:shd w:fill="F2F6FA"/>
            <w:shd w:fill="F2F6FA"/>
          </w:tcPr>
          <w:p>
            <w:pPr>
              <w:spacing w:after="20"/>
            </w:pPr>
            <w:r>
              <w:rPr>
                <w:sz w:val="16"/>
              </w:rPr>
              <w:t>Requires source/target key and agreed measure comparisons.</w:t>
            </w:r>
          </w:p>
        </w:tc>
      </w:tr>
      <w:tr>
        <w:tc>
          <w:tcPr>
            <w:tcW w:type="dxa" w:w="3408"/>
          </w:tcPr>
          <w:p>
            <w:pPr>
              <w:spacing w:after="20"/>
            </w:pPr>
            <w:r>
              <w:rPr>
                <w:sz w:val="16"/>
              </w:rPr>
              <w:t>Vendor portal grain</w:t>
            </w:r>
          </w:p>
        </w:tc>
        <w:tc>
          <w:tcPr>
            <w:tcW w:type="dxa" w:w="3408"/>
          </w:tcPr>
          <w:p>
            <w:pPr>
              <w:spacing w:after="20"/>
            </w:pPr>
            <w:r>
              <w:rPr>
                <w:sz w:val="16"/>
              </w:rPr>
              <w:t>Pending confirmation</w:t>
            </w:r>
          </w:p>
        </w:tc>
        <w:tc>
          <w:tcPr>
            <w:tcW w:type="dxa" w:w="3408"/>
          </w:tcPr>
          <w:p>
            <w:pPr>
              <w:spacing w:after="20"/>
            </w:pPr>
            <w:r>
              <w:rPr>
                <w:sz w:val="16"/>
              </w:rPr>
              <w:t>Confirm each record represents one purchase order.</w:t>
            </w:r>
          </w:p>
        </w:tc>
      </w:tr>
    </w:tbl>
    <w:p/>
    <w:p>
      <w:pPr>
        <w:pStyle w:val="Heading1"/>
      </w:pPr>
      <w:r>
        <w:t>8. Recommended Follow-up</w:t>
      </w:r>
    </w:p>
    <w:p>
      <w:pPr>
        <w:pStyle w:val="ListBullet"/>
      </w:pPr>
      <w:r>
        <w:t>Re-query Silver counts and compare them with Staging using documented cleansing rules.</w:t>
      </w:r>
    </w:p>
    <w:p>
      <w:pPr>
        <w:pStyle w:val="ListBullet"/>
      </w:pPr>
      <w:r>
        <w:t>Check unique business IDs and duplicates for every Gold fact table.</w:t>
      </w:r>
    </w:p>
    <w:p>
      <w:pPr>
        <w:pStyle w:val="ListBullet"/>
      </w:pPr>
      <w:r>
        <w:t>Validate remaining fact relationships where surrogate keys are present and required.</w:t>
      </w:r>
    </w:p>
    <w:p>
      <w:pPr>
        <w:pStyle w:val="ListBullet"/>
      </w:pPr>
      <w:r>
        <w:t>Confirm vendor_portal grain before finalizing the name and meaning of fact_purchase_order.</w:t>
      </w:r>
    </w:p>
    <w:p>
      <w:pPr>
        <w:pStyle w:val="ListBullet"/>
      </w:pPr>
      <w:r>
        <w:t>Investigate the warehouse_key type in fact_inventory_movement and change it only after confirming load logic and constraints.</w:t>
      </w:r>
    </w:p>
    <w:p>
      <w:pPr>
        <w:pStyle w:val="ListBullet"/>
      </w:pPr>
      <w:r>
        <w:t>Save SQL scripts and execution evidence in the project repository.</w:t>
      </w:r>
    </w:p>
    <w:p>
      <w:pPr>
        <w:pStyle w:val="ListBullet"/>
      </w:pPr>
      <w:r>
        <w:t>Mark pending checks honestly in the final project report.</w:t>
      </w:r>
    </w:p>
    <w:p>
      <w:pPr>
        <w:pStyle w:val="Heading1"/>
      </w:pPr>
      <w:r>
        <w:t>9. Overall Conclusion</w:t>
      </w:r>
    </w:p>
    <w:p>
      <w:r>
        <w:t>Observed Staging and Gold row counts match the project's recorded baselines. All ten tested Gold fact-to-dimension relationships have zero missing or unmatched keys. One known exception remains: 66 inventory movement rows have NULL warehouse keys. Reconciliation is partially verified; fresh Silver checks, remaining integrity checks, and source-to-target measure comparisons are required before declaring it fully complete.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ELDP | Sprint 3 | Data Reconciliation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