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9BD5"/>
          <w:sz w:val="22"/>
        </w:rPr>
        <w:t>ENTERPRISE LOGISTICS DATA PLATFORM</w:t>
      </w:r>
    </w:p>
    <w:p>
      <w:pPr>
        <w:pStyle w:val="Title"/>
        <w:jc w:val="center"/>
      </w:pPr>
      <w:r>
        <w:t>Sprint 3 — Logistics Business Glossary</w:t>
      </w:r>
    </w:p>
    <w:p>
      <w:pPr>
        <w:jc w:val="center"/>
      </w:pPr>
      <w:r>
        <w:rPr>
          <w:i/>
          <w:color w:val="646464"/>
        </w:rPr>
        <w:t>UC7 | Working Draft — Business definitions require stakeholder confirmation</w:t>
      </w:r>
    </w:p>
    <w:p>
      <w:pPr>
        <w:pStyle w:val="Heading1"/>
      </w:pPr>
      <w:r>
        <w:t>1. Purpose</w:t>
      </w:r>
    </w:p>
    <w:p>
      <w:r>
        <w:t>This glossary gives a shared interpretation of key logistics and data-engineering terms used in ELDP. Definitions are draft descriptions for documentation. KPI formulas, eligibility rules, and operational thresholds must be approved by the business owner before being treated as official.</w:t>
      </w:r>
    </w:p>
    <w:p>
      <w:pPr>
        <w:pStyle w:val="Heading1"/>
      </w:pPr>
      <w:r>
        <w:t>2. Logistics Business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7365D"/>
            <w:vAlign w:val="top"/>
          </w:tcPr>
          <w:p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2045"/>
            <w:shd w:fill="17365D"/>
            <w:vAlign w:val="top"/>
          </w:tcPr>
          <w:p>
            <w:r>
              <w:rPr>
                <w:b/>
                <w:color w:val="FFFFFF"/>
                <w:sz w:val="16"/>
              </w:rPr>
              <w:t>Draft definition</w:t>
            </w:r>
          </w:p>
        </w:tc>
        <w:tc>
          <w:tcPr>
            <w:tcW w:type="dxa" w:w="2045"/>
            <w:shd w:fill="17365D"/>
            <w:vAlign w:val="top"/>
          </w:tcPr>
          <w:p>
            <w:r>
              <w:rPr>
                <w:b/>
                <w:color w:val="FFFFFF"/>
                <w:sz w:val="16"/>
              </w:rPr>
              <w:t>Suggested interpretation / calculation</w:t>
            </w:r>
          </w:p>
        </w:tc>
        <w:tc>
          <w:tcPr>
            <w:tcW w:type="dxa" w:w="2045"/>
            <w:shd w:fill="17365D"/>
            <w:vAlign w:val="top"/>
          </w:tcPr>
          <w:p>
            <w:r>
              <w:rPr>
                <w:b/>
                <w:color w:val="FFFFFF"/>
                <w:sz w:val="16"/>
              </w:rPr>
              <w:t>Related data</w:t>
            </w:r>
          </w:p>
        </w:tc>
        <w:tc>
          <w:tcPr>
            <w:tcW w:type="dxa" w:w="2045"/>
            <w:shd w:fill="17365D"/>
            <w:vAlign w:val="top"/>
          </w:tcPr>
          <w:p>
            <w:r>
              <w:rPr>
                <w:b/>
                <w:color w:val="FFFFFF"/>
                <w:sz w:val="16"/>
              </w:rPr>
              <w:t>Status / clarification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Shipment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A logistics movement tracked under a shipment identifier.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Count distinct shipment IDs. Confirm whether cancelled/test shipments are excluded.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TMS shipments; shipment tracking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Draft — confirm business scope</w:t>
            </w:r>
          </w:p>
        </w:tc>
      </w:tr>
      <w:tr>
        <w:tc>
          <w:tcPr>
            <w:tcW w:type="dxa" w:w="2045"/>
            <w:vAlign w:val="top"/>
            <w:shd w:fill="F2F6FA"/>
            <w:shd w:fill="F2F6FA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Delivery Status</w:t>
            </w:r>
          </w:p>
        </w:tc>
        <w:tc>
          <w:tcPr>
            <w:tcW w:type="dxa" w:w="2045"/>
            <w:shd w:fill="F2F6FA"/>
            <w:vAlign w:val="top"/>
            <w:shd w:fill="F2F6FA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A recorded state describing a shipment's delivery progress.</w:t>
            </w:r>
          </w:p>
        </w:tc>
        <w:tc>
          <w:tcPr>
            <w:tcW w:type="dxa" w:w="2045"/>
            <w:shd w:fill="F2F6FA"/>
            <w:shd w:fill="F2F6FA"/>
            <w:vAlign w:val="top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Group shipments by the standardized status value.</w:t>
            </w:r>
          </w:p>
        </w:tc>
        <w:tc>
          <w:tcPr>
            <w:tcW w:type="dxa" w:w="2045"/>
            <w:shd w:fill="F2F6FA"/>
            <w:shd w:fill="F2F6FA"/>
            <w:shd w:fill="F2F6FA"/>
            <w:vAlign w:val="top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TMS shipments; shipment tracking</w:t>
            </w:r>
          </w:p>
        </w:tc>
        <w:tc>
          <w:tcPr>
            <w:tcW w:type="dxa" w:w="2045"/>
            <w:shd w:fill="F2F6FA"/>
            <w:shd w:fill="F2F6FA"/>
            <w:shd w:fill="F2F6FA"/>
            <w:shd w:fill="F2F6FA"/>
            <w:vAlign w:val="top"/>
            <w:shd w:fill="F2F6FA"/>
          </w:tcPr>
          <w:p>
            <w:pPr>
              <w:spacing w:after="20"/>
            </w:pPr>
            <w:r>
              <w:rPr>
                <w:sz w:val="16"/>
              </w:rPr>
              <w:t>Status categories and precedence require confirmation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Promised Delivery Time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The agreed date/time by which a shipment should be delivered.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Use the approved promised/expected delivery field.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TMS shipments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Exact source column and timezone require verification</w:t>
            </w:r>
          </w:p>
        </w:tc>
      </w:tr>
      <w:tr>
        <w:tc>
          <w:tcPr>
            <w:tcW w:type="dxa" w:w="2045"/>
            <w:vAlign w:val="top"/>
            <w:shd w:fill="F2F6FA"/>
            <w:shd w:fill="F2F6FA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Actual Delivery Time</w:t>
            </w:r>
          </w:p>
        </w:tc>
        <w:tc>
          <w:tcPr>
            <w:tcW w:type="dxa" w:w="2045"/>
            <w:shd w:fill="F2F6FA"/>
            <w:vAlign w:val="top"/>
            <w:shd w:fill="F2F6FA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The recorded date/time when a shipment was delivered.</w:t>
            </w:r>
          </w:p>
        </w:tc>
        <w:tc>
          <w:tcPr>
            <w:tcW w:type="dxa" w:w="2045"/>
            <w:shd w:fill="F2F6FA"/>
            <w:shd w:fill="F2F6FA"/>
            <w:vAlign w:val="top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Use the actual delivery timestamp for completed deliveries.</w:t>
            </w:r>
          </w:p>
        </w:tc>
        <w:tc>
          <w:tcPr>
            <w:tcW w:type="dxa" w:w="2045"/>
            <w:shd w:fill="F2F6FA"/>
            <w:shd w:fill="F2F6FA"/>
            <w:shd w:fill="F2F6FA"/>
            <w:vAlign w:val="top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TMS shipments</w:t>
            </w:r>
          </w:p>
        </w:tc>
        <w:tc>
          <w:tcPr>
            <w:tcW w:type="dxa" w:w="2045"/>
            <w:shd w:fill="F2F6FA"/>
            <w:shd w:fill="F2F6FA"/>
            <w:shd w:fill="F2F6FA"/>
            <w:shd w:fill="F2F6FA"/>
            <w:vAlign w:val="top"/>
            <w:shd w:fill="F2F6FA"/>
          </w:tcPr>
          <w:p>
            <w:pPr>
              <w:spacing w:after="20"/>
            </w:pPr>
            <w:r>
              <w:rPr>
                <w:sz w:val="16"/>
              </w:rPr>
              <w:t>May be NULL for in-transit shipments; do not infer delivery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On-Time Delivery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A delivered shipment that meets the agreed promised delivery time.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Candidate formula: eligible shipments delivered on or before promise ÷ all eligible delivered shipments × 100.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TMS shipments; customer feedback may provide an indicator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Confirm date fields, exclusions, timezone and denominator</w:t>
            </w:r>
          </w:p>
        </w:tc>
      </w:tr>
      <w:tr>
        <w:tc>
          <w:tcPr>
            <w:tcW w:type="dxa" w:w="2045"/>
            <w:vAlign w:val="top"/>
            <w:shd w:fill="F2F6FA"/>
            <w:shd w:fill="F2F6FA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Inventory Movement</w:t>
            </w:r>
          </w:p>
        </w:tc>
        <w:tc>
          <w:tcPr>
            <w:tcW w:type="dxa" w:w="2045"/>
            <w:shd w:fill="F2F6FA"/>
            <w:vAlign w:val="top"/>
            <w:shd w:fill="F2F6FA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A transaction recording a change in inventory.</w:t>
            </w:r>
          </w:p>
        </w:tc>
        <w:tc>
          <w:tcPr>
            <w:tcW w:type="dxa" w:w="2045"/>
            <w:shd w:fill="F2F6FA"/>
            <w:shd w:fill="F2F6FA"/>
            <w:vAlign w:val="top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Count movement records and sum signed quantity only if source quantity semantics are confirmed.</w:t>
            </w:r>
          </w:p>
        </w:tc>
        <w:tc>
          <w:tcPr>
            <w:tcW w:type="dxa" w:w="2045"/>
            <w:shd w:fill="F2F6FA"/>
            <w:shd w:fill="F2F6FA"/>
            <w:shd w:fill="F2F6FA"/>
            <w:vAlign w:val="top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Inventory movements</w:t>
            </w:r>
          </w:p>
        </w:tc>
        <w:tc>
          <w:tcPr>
            <w:tcW w:type="dxa" w:w="2045"/>
            <w:shd w:fill="F2F6FA"/>
            <w:shd w:fill="F2F6FA"/>
            <w:shd w:fill="F2F6FA"/>
            <w:shd w:fill="F2F6FA"/>
            <w:vAlign w:val="top"/>
            <w:shd w:fill="F2F6FA"/>
          </w:tcPr>
          <w:p>
            <w:pPr>
              <w:spacing w:after="20"/>
            </w:pPr>
            <w:r>
              <w:rPr>
                <w:sz w:val="16"/>
              </w:rPr>
              <w:t>Confirm movement types and whether quantity is signed or unsigned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Inventory Snapshot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A view of stock quantity at a particular point in time.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Analyze stock by product, warehouse and snapshot date; avoid summing repeated snapshots across dates.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WMS inventory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Confirm snapshot date and quantity meaning</w:t>
            </w:r>
          </w:p>
        </w:tc>
      </w:tr>
      <w:tr>
        <w:tc>
          <w:tcPr>
            <w:tcW w:type="dxa" w:w="2045"/>
            <w:vAlign w:val="top"/>
            <w:shd w:fill="F2F6FA"/>
            <w:shd w:fill="F2F6FA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Warehouse</w:t>
            </w:r>
          </w:p>
        </w:tc>
        <w:tc>
          <w:tcPr>
            <w:tcW w:type="dxa" w:w="2045"/>
            <w:shd w:fill="F2F6FA"/>
            <w:vAlign w:val="top"/>
            <w:shd w:fill="F2F6FA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A physical or logical location where goods are stored or handled.</w:t>
            </w:r>
          </w:p>
        </w:tc>
        <w:tc>
          <w:tcPr>
            <w:tcW w:type="dxa" w:w="2045"/>
            <w:shd w:fill="F2F6FA"/>
            <w:shd w:fill="F2F6FA"/>
            <w:vAlign w:val="top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Count warehouses; group inventory and movements by warehouse.</w:t>
            </w:r>
          </w:p>
        </w:tc>
        <w:tc>
          <w:tcPr>
            <w:tcW w:type="dxa" w:w="2045"/>
            <w:shd w:fill="F2F6FA"/>
            <w:shd w:fill="F2F6FA"/>
            <w:shd w:fill="F2F6FA"/>
            <w:vAlign w:val="top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ERP warehouse master; WMS; inventory movements</w:t>
            </w:r>
          </w:p>
        </w:tc>
        <w:tc>
          <w:tcPr>
            <w:tcW w:type="dxa" w:w="2045"/>
            <w:shd w:fill="F2F6FA"/>
            <w:shd w:fill="F2F6FA"/>
            <w:shd w:fill="F2F6FA"/>
            <w:shd w:fill="F2F6FA"/>
            <w:vAlign w:val="top"/>
            <w:shd w:fill="F2F6FA"/>
          </w:tcPr>
          <w:p>
            <w:pPr>
              <w:spacing w:after="20"/>
            </w:pPr>
            <w:r>
              <w:rPr>
                <w:sz w:val="16"/>
              </w:rPr>
              <w:t>Warehouse identifier and hierarchy require schema verification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Fleet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Vehicles and related operational resources used to move goods.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Analyze registered/active vehicles and events by vehicle.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ERP vehicle master; fleet management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Define active fleet and eligible vehicle population</w:t>
            </w:r>
          </w:p>
        </w:tc>
      </w:tr>
      <w:tr>
        <w:tc>
          <w:tcPr>
            <w:tcW w:type="dxa" w:w="2045"/>
            <w:vAlign w:val="top"/>
            <w:shd w:fill="F2F6FA"/>
            <w:shd w:fill="F2F6FA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Fleet Utilization</w:t>
            </w:r>
          </w:p>
        </w:tc>
        <w:tc>
          <w:tcPr>
            <w:tcW w:type="dxa" w:w="2045"/>
            <w:shd w:fill="F2F6FA"/>
            <w:vAlign w:val="top"/>
            <w:shd w:fill="F2F6FA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A measure of how much available fleet capacity or time is used.</w:t>
            </w:r>
          </w:p>
        </w:tc>
        <w:tc>
          <w:tcPr>
            <w:tcW w:type="dxa" w:w="2045"/>
            <w:shd w:fill="F2F6FA"/>
            <w:shd w:fill="F2F6FA"/>
            <w:vAlign w:val="top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No official formula assigned. Possible measures include active vehicle time ÷ available vehicle time or utilized capacity ÷ available capacity.</w:t>
            </w:r>
          </w:p>
        </w:tc>
        <w:tc>
          <w:tcPr>
            <w:tcW w:type="dxa" w:w="2045"/>
            <w:shd w:fill="F2F6FA"/>
            <w:shd w:fill="F2F6FA"/>
            <w:shd w:fill="F2F6FA"/>
            <w:vAlign w:val="top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Vehicle master; fleet events; GPS data</w:t>
            </w:r>
          </w:p>
        </w:tc>
        <w:tc>
          <w:tcPr>
            <w:tcW w:type="dxa" w:w="2045"/>
            <w:shd w:fill="F2F6FA"/>
            <w:shd w:fill="F2F6FA"/>
            <w:shd w:fill="F2F6FA"/>
            <w:shd w:fill="F2F6FA"/>
            <w:vAlign w:val="top"/>
            <w:shd w:fill="F2F6FA"/>
          </w:tcPr>
          <w:p>
            <w:pPr>
              <w:spacing w:after="20"/>
            </w:pPr>
            <w:r>
              <w:rPr>
                <w:sz w:val="16"/>
              </w:rPr>
              <w:t>Business owner must select metric, denominator and time window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GPS Ping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A vehicle location observation recorded at a timestamp.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Count valid pings; inspect locations and movement over time.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GPS tracking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Coordinate validity and event-time handling must be documented</w:t>
            </w:r>
          </w:p>
        </w:tc>
      </w:tr>
      <w:tr>
        <w:tc>
          <w:tcPr>
            <w:tcW w:type="dxa" w:w="2045"/>
            <w:vAlign w:val="top"/>
            <w:shd w:fill="F2F6FA"/>
            <w:shd w:fill="F2F6FA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Vehicle Speed</w:t>
            </w:r>
          </w:p>
        </w:tc>
        <w:tc>
          <w:tcPr>
            <w:tcW w:type="dxa" w:w="2045"/>
            <w:shd w:fill="F2F6FA"/>
            <w:vAlign w:val="top"/>
            <w:shd w:fill="F2F6FA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Vehicle speed associated with a GPS observation or fleet event.</w:t>
            </w:r>
          </w:p>
        </w:tc>
        <w:tc>
          <w:tcPr>
            <w:tcW w:type="dxa" w:w="2045"/>
            <w:shd w:fill="F2F6FA"/>
            <w:shd w:fill="F2F6FA"/>
            <w:vAlign w:val="top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Use speed readings with documented units and validity rules.</w:t>
            </w:r>
          </w:p>
        </w:tc>
        <w:tc>
          <w:tcPr>
            <w:tcW w:type="dxa" w:w="2045"/>
            <w:shd w:fill="F2F6FA"/>
            <w:shd w:fill="F2F6FA"/>
            <w:shd w:fill="F2F6FA"/>
            <w:vAlign w:val="top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GPS tracking</w:t>
            </w:r>
          </w:p>
        </w:tc>
        <w:tc>
          <w:tcPr>
            <w:tcW w:type="dxa" w:w="2045"/>
            <w:shd w:fill="F2F6FA"/>
            <w:shd w:fill="F2F6FA"/>
            <w:shd w:fill="F2F6FA"/>
            <w:shd w:fill="F2F6FA"/>
            <w:vAlign w:val="top"/>
            <w:shd w:fill="F2F6FA"/>
          </w:tcPr>
          <w:p>
            <w:pPr>
              <w:spacing w:after="20"/>
            </w:pPr>
            <w:r>
              <w:rPr>
                <w:sz w:val="16"/>
              </w:rPr>
              <w:t>Missing speed is preserved in the current cleaned dataset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IoT Sensor Reading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A measurement captured by a sensor at a timestamp.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Analyze reading values by sensor, location and time where those keys exist.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IoT sensor data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Sensor type, units and approved thresholds require verification</w:t>
            </w:r>
          </w:p>
        </w:tc>
      </w:tr>
      <w:tr>
        <w:tc>
          <w:tcPr>
            <w:tcW w:type="dxa" w:w="2045"/>
            <w:vAlign w:val="top"/>
            <w:shd w:fill="F2F6FA"/>
            <w:shd w:fill="F2F6FA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Supplier</w:t>
            </w:r>
          </w:p>
        </w:tc>
        <w:tc>
          <w:tcPr>
            <w:tcW w:type="dxa" w:w="2045"/>
            <w:shd w:fill="F2F6FA"/>
            <w:vAlign w:val="top"/>
            <w:shd w:fill="F2F6FA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An organization or entity supplying goods or services.</w:t>
            </w:r>
          </w:p>
        </w:tc>
        <w:tc>
          <w:tcPr>
            <w:tcW w:type="dxa" w:w="2045"/>
            <w:shd w:fill="F2F6FA"/>
            <w:shd w:fill="F2F6FA"/>
            <w:vAlign w:val="top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Count distinct supplier IDs; analyze related purchasing records.</w:t>
            </w:r>
          </w:p>
        </w:tc>
        <w:tc>
          <w:tcPr>
            <w:tcW w:type="dxa" w:w="2045"/>
            <w:shd w:fill="F2F6FA"/>
            <w:shd w:fill="F2F6FA"/>
            <w:shd w:fill="F2F6FA"/>
            <w:vAlign w:val="top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ERP supplier master; vendor portal</w:t>
            </w:r>
          </w:p>
        </w:tc>
        <w:tc>
          <w:tcPr>
            <w:tcW w:type="dxa" w:w="2045"/>
            <w:shd w:fill="F2F6FA"/>
            <w:shd w:fill="F2F6FA"/>
            <w:shd w:fill="F2F6FA"/>
            <w:shd w:fill="F2F6FA"/>
            <w:vAlign w:val="top"/>
            <w:shd w:fill="F2F6FA"/>
          </w:tcPr>
          <w:p>
            <w:pPr>
              <w:spacing w:after="20"/>
            </w:pPr>
            <w:r>
              <w:rPr>
                <w:sz w:val="16"/>
              </w:rPr>
              <w:t>Supplier identifier and active status rules require verification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Supplier Performance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A measure of supplier delivery, acknowledgement, quality or purchasing performance.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No official formula assigned; define individual KPIs from verified vendor fields.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Supplier master; vendor portal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Business owner must approve KPIs and source grain</w:t>
            </w:r>
          </w:p>
        </w:tc>
      </w:tr>
      <w:tr>
        <w:tc>
          <w:tcPr>
            <w:tcW w:type="dxa" w:w="2045"/>
            <w:vAlign w:val="top"/>
            <w:shd w:fill="F2F6FA"/>
            <w:shd w:fill="F2F6FA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Purchase Order</w:t>
            </w:r>
          </w:p>
        </w:tc>
        <w:tc>
          <w:tcPr>
            <w:tcW w:type="dxa" w:w="2045"/>
            <w:shd w:fill="F2F6FA"/>
            <w:vAlign w:val="top"/>
            <w:shd w:fill="F2F6FA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A purchasing record requesting goods/services from a supplier.</w:t>
            </w:r>
          </w:p>
        </w:tc>
        <w:tc>
          <w:tcPr>
            <w:tcW w:type="dxa" w:w="2045"/>
            <w:shd w:fill="F2F6FA"/>
            <w:shd w:fill="F2F6FA"/>
            <w:vAlign w:val="top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Count distinct purchase-order IDs and sum amounts only if grain and amount semantics are verified.</w:t>
            </w:r>
          </w:p>
        </w:tc>
        <w:tc>
          <w:tcPr>
            <w:tcW w:type="dxa" w:w="2045"/>
            <w:shd w:fill="F2F6FA"/>
            <w:shd w:fill="F2F6FA"/>
            <w:shd w:fill="F2F6FA"/>
            <w:vAlign w:val="top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Vendor portal</w:t>
            </w:r>
          </w:p>
        </w:tc>
        <w:tc>
          <w:tcPr>
            <w:tcW w:type="dxa" w:w="2045"/>
            <w:shd w:fill="F2F6FA"/>
            <w:shd w:fill="F2F6FA"/>
            <w:shd w:fill="F2F6FA"/>
            <w:shd w:fill="F2F6FA"/>
            <w:vAlign w:val="top"/>
            <w:shd w:fill="F2F6FA"/>
          </w:tcPr>
          <w:p>
            <w:pPr>
              <w:spacing w:after="20"/>
            </w:pPr>
            <w:r>
              <w:rPr>
                <w:sz w:val="16"/>
              </w:rPr>
              <w:t>Confirm that each vendor-portal row represents a purchase order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Customer Feedback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A customer-provided rating or comment about service.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Analyze valid ratings and feedback categories according to approved domain.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Customer feedback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Current cleaning removed ratings -1, 0 and 6; confirm valid rating domain</w:t>
            </w:r>
          </w:p>
        </w:tc>
      </w:tr>
      <w:tr>
        <w:tc>
          <w:tcPr>
            <w:tcW w:type="dxa" w:w="2045"/>
            <w:vAlign w:val="top"/>
            <w:shd w:fill="F2F6FA"/>
            <w:shd w:fill="F2F6FA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Data Quality</w:t>
            </w:r>
          </w:p>
        </w:tc>
        <w:tc>
          <w:tcPr>
            <w:tcW w:type="dxa" w:w="2045"/>
            <w:shd w:fill="F2F6FA"/>
            <w:vAlign w:val="top"/>
            <w:shd w:fill="F2F6FA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The degree to which data meets documented expectations for validity, completeness, uniqueness and consistency.</w:t>
            </w:r>
          </w:p>
        </w:tc>
        <w:tc>
          <w:tcPr>
            <w:tcW w:type="dxa" w:w="2045"/>
            <w:shd w:fill="F2F6FA"/>
            <w:shd w:fill="F2F6FA"/>
            <w:vAlign w:val="top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Use defined checks such as duplicates, nulls, ranges, referential integrity and accepted values.</w:t>
            </w:r>
          </w:p>
        </w:tc>
        <w:tc>
          <w:tcPr>
            <w:tcW w:type="dxa" w:w="2045"/>
            <w:shd w:fill="F2F6FA"/>
            <w:shd w:fill="F2F6FA"/>
            <w:shd w:fill="F2F6FA"/>
            <w:vAlign w:val="top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All layers</w:t>
            </w:r>
          </w:p>
        </w:tc>
        <w:tc>
          <w:tcPr>
            <w:tcW w:type="dxa" w:w="2045"/>
            <w:shd w:fill="F2F6FA"/>
            <w:shd w:fill="F2F6FA"/>
            <w:shd w:fill="F2F6FA"/>
            <w:shd w:fill="F2F6FA"/>
            <w:vAlign w:val="top"/>
            <w:shd w:fill="F2F6FA"/>
          </w:tcPr>
          <w:p>
            <w:pPr>
              <w:spacing w:after="20"/>
            </w:pPr>
            <w:r>
              <w:rPr>
                <w:sz w:val="16"/>
              </w:rPr>
              <w:t>Every rule should have an owner, severity and outcome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Data Lineage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The traceable path from a source through transformations to target tables and reports.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Record upstream source, transformation, target and evidence of execution.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Source, staging, Silver, Gold, Power BI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Exact Pentaho and script lineage requires repository verification</w:t>
            </w:r>
          </w:p>
        </w:tc>
      </w:tr>
      <w:tr>
        <w:tc>
          <w:tcPr>
            <w:tcW w:type="dxa" w:w="2045"/>
            <w:vAlign w:val="top"/>
            <w:shd w:fill="F2F6FA"/>
            <w:shd w:fill="F2F6FA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Metadata</w:t>
            </w:r>
          </w:p>
        </w:tc>
        <w:tc>
          <w:tcPr>
            <w:tcW w:type="dxa" w:w="2045"/>
            <w:shd w:fill="F2F6FA"/>
            <w:vAlign w:val="top"/>
            <w:shd w:fill="F2F6FA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Information describing datasets, columns, keys, transformations, ownership and quality rules.</w:t>
            </w:r>
          </w:p>
        </w:tc>
        <w:tc>
          <w:tcPr>
            <w:tcW w:type="dxa" w:w="2045"/>
            <w:shd w:fill="F2F6FA"/>
            <w:shd w:fill="F2F6FA"/>
            <w:vAlign w:val="top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Maintain catalog entries and verify technical details against schemas and scripts.</w:t>
            </w:r>
          </w:p>
        </w:tc>
        <w:tc>
          <w:tcPr>
            <w:tcW w:type="dxa" w:w="2045"/>
            <w:shd w:fill="F2F6FA"/>
            <w:shd w:fill="F2F6FA"/>
            <w:shd w:fill="F2F6FA"/>
            <w:vAlign w:val="top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Metadata repository</w:t>
            </w:r>
          </w:p>
        </w:tc>
        <w:tc>
          <w:tcPr>
            <w:tcW w:type="dxa" w:w="2045"/>
            <w:shd w:fill="F2F6FA"/>
            <w:shd w:fill="F2F6FA"/>
            <w:shd w:fill="F2F6FA"/>
            <w:shd w:fill="F2F6FA"/>
            <w:vAlign w:val="top"/>
            <w:shd w:fill="F2F6FA"/>
          </w:tcPr>
          <w:p>
            <w:pPr>
              <w:spacing w:after="20"/>
            </w:pPr>
            <w:r>
              <w:rPr>
                <w:sz w:val="16"/>
              </w:rPr>
              <w:t>Column-level metadata must come from actual schema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Reconciliation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A comparison of source and target record counts, keys or agreed business measures.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Compare counts and key coverage; compare aggregates only when semantics match.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Silver and Gold; validation outputs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Record run timestamp, query, result and exception disposition</w:t>
            </w:r>
          </w:p>
        </w:tc>
      </w:tr>
      <w:tr>
        <w:tc>
          <w:tcPr>
            <w:tcW w:type="dxa" w:w="2045"/>
            <w:vAlign w:val="top"/>
            <w:shd w:fill="F2F6FA"/>
            <w:shd w:fill="F2F6FA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ETL Job</w:t>
            </w:r>
          </w:p>
        </w:tc>
        <w:tc>
          <w:tcPr>
            <w:tcW w:type="dxa" w:w="2045"/>
            <w:shd w:fill="F2F6FA"/>
            <w:vAlign w:val="top"/>
            <w:shd w:fill="F2F6FA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A workflow that runs transformations in a controlled order and handles success/failure.</w:t>
            </w:r>
          </w:p>
        </w:tc>
        <w:tc>
          <w:tcPr>
            <w:tcW w:type="dxa" w:w="2045"/>
            <w:shd w:fill="F2F6FA"/>
            <w:shd w:fill="F2F6FA"/>
            <w:vAlign w:val="top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Record steps, dependencies, run status and errors.</w:t>
            </w:r>
          </w:p>
        </w:tc>
        <w:tc>
          <w:tcPr>
            <w:tcW w:type="dxa" w:w="2045"/>
            <w:shd w:fill="F2F6FA"/>
            <w:shd w:fill="F2F6FA"/>
            <w:shd w:fill="F2F6FA"/>
            <w:vAlign w:val="top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Pentaho jobs (.kjb) and transformations (.ktr)</w:t>
            </w:r>
          </w:p>
        </w:tc>
        <w:tc>
          <w:tcPr>
            <w:tcW w:type="dxa" w:w="2045"/>
            <w:shd w:fill="F2F6FA"/>
            <w:shd w:fill="F2F6FA"/>
            <w:shd w:fill="F2F6FA"/>
            <w:shd w:fill="F2F6FA"/>
            <w:vAlign w:val="top"/>
            <w:shd w:fill="F2F6FA"/>
          </w:tcPr>
          <w:p>
            <w:pPr>
              <w:spacing w:after="20"/>
            </w:pPr>
            <w:r>
              <w:rPr>
                <w:sz w:val="16"/>
              </w:rPr>
              <w:t>Actual job filenames and execution status are pending inspection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Surrogate Key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A warehouse-generated identifier used by a dimension record.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Use the dimension key when loading fact foreign keys; preserve business keys for traceability where appropriate.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Gold dimensions and facts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sz w:val="16"/>
              </w:rPr>
              <w:t>Verify actual key column names in PostgreSQL</w:t>
            </w:r>
          </w:p>
        </w:tc>
      </w:tr>
    </w:tbl>
    <w:p/>
    <w:p>
      <w:pPr>
        <w:pStyle w:val="Heading1"/>
      </w:pPr>
      <w:r>
        <w:t>3. Governance Rules for Using This Glossary</w:t>
      </w:r>
    </w:p>
    <w:p>
      <w:pPr>
        <w:pStyle w:val="ListBullet"/>
      </w:pPr>
      <w:r>
        <w:t>Treat definitions and formulas as drafts until approved by the relevant business stakeholder.</w:t>
      </w:r>
    </w:p>
    <w:p>
      <w:pPr>
        <w:pStyle w:val="ListBullet"/>
      </w:pPr>
      <w:r>
        <w:t>Do not calculate on-time delivery until promised and actual delivery fields, timezone, exclusions, and denominator are confirmed.</w:t>
      </w:r>
    </w:p>
    <w:p>
      <w:pPr>
        <w:pStyle w:val="ListBullet"/>
      </w:pPr>
      <w:r>
        <w:t>Do not publish a fleet-utilization or supplier-performance KPI without an agreed formula and verified source fields.</w:t>
      </w:r>
    </w:p>
    <w:p>
      <w:pPr>
        <w:pStyle w:val="ListBullet"/>
      </w:pPr>
      <w:r>
        <w:t>Do not invent values for missing warehouse references. Report the known 66 inventory-movement exceptions and record their disposition.</w:t>
      </w:r>
    </w:p>
    <w:p>
      <w:pPr>
        <w:pStyle w:val="ListBullet"/>
      </w:pPr>
      <w:r>
        <w:t>Preserve meaningful NULL values where they indicate unknown, not-yet-available, or inapplicable data.</w:t>
      </w:r>
    </w:p>
    <w:p>
      <w:pPr>
        <w:pStyle w:val="ListBullet"/>
      </w:pPr>
      <w:r>
        <w:t>For every approved term, record the business owner, technical owner, approval date, and version in the maintained glossary.</w:t>
      </w:r>
    </w:p>
    <w:p>
      <w:pPr>
        <w:pStyle w:val="Heading1"/>
      </w:pPr>
      <w:r>
        <w:t>4. Approval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  <w:vAlign w:val="top"/>
          </w:tcPr>
          <w:p>
            <w:r>
              <w:rPr>
                <w:b/>
                <w:color w:val="FFFFFF"/>
                <w:sz w:val="16"/>
              </w:rPr>
              <w:t>Item requiring approval</w:t>
            </w:r>
          </w:p>
        </w:tc>
        <w:tc>
          <w:tcPr>
            <w:tcW w:type="dxa" w:w="2556"/>
            <w:shd w:fill="17365D"/>
            <w:vAlign w:val="top"/>
          </w:tcPr>
          <w:p>
            <w:r>
              <w:rPr>
                <w:b/>
                <w:color w:val="FFFFFF"/>
                <w:sz w:val="16"/>
              </w:rPr>
              <w:t>Decision required</w:t>
            </w:r>
          </w:p>
        </w:tc>
        <w:tc>
          <w:tcPr>
            <w:tcW w:type="dxa" w:w="2556"/>
            <w:shd w:fill="17365D"/>
            <w:vAlign w:val="top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56"/>
            <w:shd w:fill="17365D"/>
            <w:vAlign w:val="top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On-time delivery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Approved timestamp fields, timezone, eligible shipment set, denominator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Logistics business owner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Pending</w:t>
            </w:r>
          </w:p>
        </w:tc>
      </w:tr>
      <w:tr>
        <w:tc>
          <w:tcPr>
            <w:tcW w:type="dxa" w:w="2556"/>
            <w:vAlign w:val="top"/>
            <w:shd w:fill="F2F6FA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Fleet utilization</w:t>
            </w:r>
          </w:p>
        </w:tc>
        <w:tc>
          <w:tcPr>
            <w:tcW w:type="dxa" w:w="2556"/>
            <w:shd w:fill="F2F6FA"/>
            <w:vAlign w:val="top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Metric definition, denominator, time window, vehicle eligibility</w:t>
            </w:r>
          </w:p>
        </w:tc>
        <w:tc>
          <w:tcPr>
            <w:tcW w:type="dxa" w:w="2556"/>
            <w:shd w:fill="F2F6FA"/>
            <w:shd w:fill="F2F6FA"/>
            <w:vAlign w:val="top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Fleet operations owner</w:t>
            </w:r>
          </w:p>
        </w:tc>
        <w:tc>
          <w:tcPr>
            <w:tcW w:type="dxa" w:w="2556"/>
            <w:shd w:fill="F2F6FA"/>
            <w:shd w:fill="F2F6FA"/>
            <w:shd w:fill="F2F6FA"/>
            <w:vAlign w:val="top"/>
            <w:shd w:fill="F2F6FA"/>
          </w:tcPr>
          <w:p>
            <w:pPr>
              <w:spacing w:after="20"/>
            </w:pPr>
            <w:r>
              <w:rPr>
                <w:sz w:val="16"/>
              </w:rPr>
              <w:t>Pending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Supplier performance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KPIs, formulas, source grain and exclusions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Procurement owner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Pending</w:t>
            </w:r>
          </w:p>
        </w:tc>
      </w:tr>
      <w:tr>
        <w:tc>
          <w:tcPr>
            <w:tcW w:type="dxa" w:w="2556"/>
            <w:vAlign w:val="top"/>
            <w:shd w:fill="F2F6FA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Customer rating</w:t>
            </w:r>
          </w:p>
        </w:tc>
        <w:tc>
          <w:tcPr>
            <w:tcW w:type="dxa" w:w="2556"/>
            <w:shd w:fill="F2F6FA"/>
            <w:vAlign w:val="top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Valid rating domain</w:t>
            </w:r>
          </w:p>
        </w:tc>
        <w:tc>
          <w:tcPr>
            <w:tcW w:type="dxa" w:w="2556"/>
            <w:shd w:fill="F2F6FA"/>
            <w:shd w:fill="F2F6FA"/>
            <w:vAlign w:val="top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Customer service owner</w:t>
            </w:r>
          </w:p>
        </w:tc>
        <w:tc>
          <w:tcPr>
            <w:tcW w:type="dxa" w:w="2556"/>
            <w:shd w:fill="F2F6FA"/>
            <w:shd w:fill="F2F6FA"/>
            <w:shd w:fill="F2F6FA"/>
            <w:vAlign w:val="top"/>
            <w:shd w:fill="F2F6FA"/>
          </w:tcPr>
          <w:p>
            <w:pPr>
              <w:spacing w:after="20"/>
            </w:pPr>
            <w:r>
              <w:rPr>
                <w:sz w:val="16"/>
              </w:rPr>
              <w:t>Pending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IoT thresholds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Thresholds by sensor type and unit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Operations / IoT owner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Pending</w:t>
            </w:r>
          </w:p>
        </w:tc>
      </w:tr>
      <w:tr>
        <w:tc>
          <w:tcPr>
            <w:tcW w:type="dxa" w:w="2556"/>
            <w:vAlign w:val="top"/>
            <w:shd w:fill="F2F6FA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Vendor portal grain</w:t>
            </w:r>
          </w:p>
        </w:tc>
        <w:tc>
          <w:tcPr>
            <w:tcW w:type="dxa" w:w="2556"/>
            <w:shd w:fill="F2F6FA"/>
            <w:vAlign w:val="top"/>
            <w:shd w:fill="F2F6FA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Whether each record is a purchase order or another vendor event</w:t>
            </w:r>
          </w:p>
        </w:tc>
        <w:tc>
          <w:tcPr>
            <w:tcW w:type="dxa" w:w="2556"/>
            <w:shd w:fill="F2F6FA"/>
            <w:shd w:fill="F2F6FA"/>
            <w:vAlign w:val="top"/>
            <w:shd w:fill="F2F6FA"/>
            <w:shd w:fill="F2F6FA"/>
          </w:tcPr>
          <w:p>
            <w:pPr>
              <w:spacing w:after="20"/>
            </w:pPr>
            <w:r>
              <w:rPr>
                <w:sz w:val="16"/>
              </w:rPr>
              <w:t>Procurement / data owner</w:t>
            </w:r>
          </w:p>
        </w:tc>
        <w:tc>
          <w:tcPr>
            <w:tcW w:type="dxa" w:w="2556"/>
            <w:shd w:fill="F2F6FA"/>
            <w:shd w:fill="F2F6FA"/>
            <w:shd w:fill="F2F6FA"/>
            <w:vAlign w:val="top"/>
            <w:shd w:fill="F2F6FA"/>
          </w:tcPr>
          <w:p>
            <w:pPr>
              <w:spacing w:after="20"/>
            </w:pPr>
            <w:r>
              <w:rPr>
                <w:sz w:val="16"/>
              </w:rPr>
              <w:t>Pending</w:t>
            </w:r>
          </w:p>
        </w:tc>
      </w:tr>
    </w:tbl>
    <w:p/>
    <w:p>
      <w:pPr>
        <w:pStyle w:val="Heading1"/>
      </w:pPr>
      <w:r>
        <w:t>5. Status</w:t>
      </w:r>
    </w:p>
    <w:p>
      <w:r>
        <w:t>Glossary draft prepared for Sprint 3. It should be finalized after review by business stakeholders and cross-checked against the actual PostgreSQL schema, source data dictionary, and implemented transformations.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ELDP | Sprint 3 | Logistics Business Glossary —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