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sz w:val="96"/>
          <w:szCs w:val="96"/>
        </w:rPr>
        <w:t xml:space="preserve">🎓</w:t>
      </w:r>
    </w:p>
    <w:p>
      <w:pPr>
        <w:spacing w:after="100" w:before="300"/>
        <w:jc w:val="center"/>
      </w:pPr>
      <w:r>
        <w:rPr>
          <w:b/>
          <w:bCs/>
          <w:color w:val="1F2937"/>
          <w:sz w:val="64"/>
          <w:szCs w:val="64"/>
        </w:rPr>
        <w:t xml:space="preserve">CampusPulse</w:t>
      </w:r>
    </w:p>
    <w:p>
      <w:pPr>
        <w:spacing w:after="600"/>
        <w:jc w:val="center"/>
      </w:pPr>
      <w:r>
        <w:rPr>
          <w:b/>
          <w:bCs/>
          <w:color w:val="2563EB"/>
          <w:sz w:val="28"/>
          <w:szCs w:val="28"/>
        </w:rPr>
        <w:t xml:space="preserve">Campus Placement Analytics &amp; Prediction Dashboard</w:t>
      </w:r>
    </w:p>
    <w:p>
      <w:pPr>
        <w:spacing w:after="60"/>
        <w:jc w:val="center"/>
      </w:pPr>
      <w:r>
        <w:rPr>
          <w:i/>
          <w:iCs/>
          <w:color w:val="6B7280"/>
          <w:sz w:val="24"/>
          <w:szCs w:val="24"/>
        </w:rPr>
        <w:t xml:space="preserve">A Project Report</w:t>
      </w:r>
    </w:p>
    <w:p>
      <w:pPr>
        <w:spacing w:after="60" w:before="1200"/>
        <w:jc w:val="center"/>
      </w:pPr>
      <w:r>
        <w:rPr>
          <w:color w:val="6B7280"/>
          <w:sz w:val="22"/>
          <w:szCs w:val="22"/>
        </w:rPr>
        <w:t xml:space="preserve">Submitted by</w:t>
      </w:r>
    </w:p>
    <w:p>
      <w:pPr>
        <w:spacing w:after="400"/>
        <w:jc w:val="center"/>
      </w:pPr>
      <w:r>
        <w:rPr>
          <w:b/>
          <w:bCs/>
          <w:color w:val="1F2937"/>
          <w:sz w:val="30"/>
          <w:szCs w:val="30"/>
        </w:rPr>
        <w:t xml:space="preserve">Gaurav Mishra</w:t>
      </w:r>
    </w:p>
    <w:p>
      <w:pPr>
        <w:spacing w:after="60"/>
        <w:jc w:val="center"/>
      </w:pPr>
      <w:r>
        <w:rPr>
          <w:color w:val="6B7280"/>
          <w:sz w:val="20"/>
          <w:szCs w:val="20"/>
        </w:rPr>
        <w:t xml:space="preserve">Built with Python, Streamlit, scikit-learn and Plotly</w:t>
      </w:r>
    </w:p>
    <w:p>
      <w:pPr>
        <w:spacing w:before="1600"/>
        <w:jc w:val="center"/>
      </w:pPr>
      <w:r>
        <w:rPr>
          <w:color w:val="6B7280"/>
          <w:sz w:val="22"/>
          <w:szCs w:val="22"/>
        </w:rPr>
        <w:t xml:space="preserve">2026</w:t>
      </w:r>
    </w:p>
    <w:p>
      <w:pPr>
        <w:sectPr>
          <w:pgSz w:w="12240" w:h="15840" w:orient="portrait"/>
          <w:pgMar w:top="1440" w:right="1440" w:bottom="1440" w:left="1440" w:header="708" w:footer="708" w:gutter="0"/>
          <w:pgNumType/>
          <w:docGrid w:linePitch="360"/>
        </w:sectPr>
      </w:pPr>
    </w:p>
    <w:p>
      <w:pPr>
        <w:pStyle w:val="Heading1"/>
        <w:pBdr>
          <w:bottom w:val="single" w:color="2563EB" w:sz="8" w:space="4"/>
        </w:pBdr>
        <w:spacing w:after="200" w:before="360"/>
      </w:pPr>
      <w:r>
        <w:rPr>
          <w:b/>
          <w:bCs/>
          <w:color w:val="1F2937"/>
          <w:sz w:val="30"/>
          <w:szCs w:val="30"/>
        </w:rPr>
        <w:t xml:space="preserve">Table of Contents</w:t>
      </w:r>
    </w:p>
    <w:p>
      <w:pPr>
        <w:spacing w:after="140"/>
      </w:pPr>
      <w:r>
        <w:rPr>
          <w:color w:val="111827"/>
          <w:sz w:val="22"/>
          <w:szCs w:val="22"/>
        </w:rPr>
        <w:t xml:space="preserve">1. Abstract</w:t>
      </w:r>
    </w:p>
    <w:p>
      <w:pPr>
        <w:spacing w:after="140"/>
      </w:pPr>
      <w:r>
        <w:rPr>
          <w:color w:val="111827"/>
          <w:sz w:val="22"/>
          <w:szCs w:val="22"/>
        </w:rPr>
        <w:t xml:space="preserve">2. Introduction</w:t>
      </w:r>
    </w:p>
    <w:p>
      <w:pPr>
        <w:spacing w:after="140"/>
      </w:pPr>
      <w:r>
        <w:rPr>
          <w:color w:val="111827"/>
          <w:sz w:val="22"/>
          <w:szCs w:val="22"/>
        </w:rPr>
        <w:t xml:space="preserve">3. Objectives</w:t>
      </w:r>
    </w:p>
    <w:p>
      <w:pPr>
        <w:spacing w:after="140"/>
      </w:pPr>
      <w:r>
        <w:rPr>
          <w:color w:val="111827"/>
          <w:sz w:val="22"/>
          <w:szCs w:val="22"/>
        </w:rPr>
        <w:t xml:space="preserve">4. Technology Stack</w:t>
      </w:r>
    </w:p>
    <w:p>
      <w:pPr>
        <w:spacing w:after="140"/>
      </w:pPr>
      <w:r>
        <w:rPr>
          <w:color w:val="111827"/>
          <w:sz w:val="22"/>
          <w:szCs w:val="22"/>
        </w:rPr>
        <w:t xml:space="preserve">5. Dataset Description</w:t>
      </w:r>
    </w:p>
    <w:p>
      <w:pPr>
        <w:spacing w:after="140"/>
      </w:pPr>
      <w:r>
        <w:rPr>
          <w:color w:val="111827"/>
          <w:sz w:val="22"/>
          <w:szCs w:val="22"/>
        </w:rPr>
        <w:t xml:space="preserve">6. System Architecture</w:t>
      </w:r>
    </w:p>
    <w:p>
      <w:pPr>
        <w:spacing w:after="140"/>
      </w:pPr>
      <w:r>
        <w:rPr>
          <w:color w:val="111827"/>
          <w:sz w:val="22"/>
          <w:szCs w:val="22"/>
        </w:rPr>
        <w:t xml:space="preserve">7. Project Structure</w:t>
      </w:r>
    </w:p>
    <w:p>
      <w:pPr>
        <w:spacing w:after="140"/>
      </w:pPr>
      <w:r>
        <w:rPr>
          <w:color w:val="111827"/>
          <w:sz w:val="22"/>
          <w:szCs w:val="22"/>
        </w:rPr>
        <w:t xml:space="preserve">8. Features / Modules</w:t>
      </w:r>
    </w:p>
    <w:p>
      <w:pPr>
        <w:spacing w:after="140"/>
      </w:pPr>
      <w:r>
        <w:rPr>
          <w:color w:val="111827"/>
          <w:sz w:val="22"/>
          <w:szCs w:val="22"/>
        </w:rPr>
        <w:t xml:space="preserve">9. Methodology</w:t>
      </w:r>
    </w:p>
    <w:p>
      <w:pPr>
        <w:spacing w:after="140"/>
      </w:pPr>
      <w:r>
        <w:rPr>
          <w:color w:val="111827"/>
          <w:sz w:val="22"/>
          <w:szCs w:val="22"/>
        </w:rPr>
        <w:t xml:space="preserve">10. Results</w:t>
      </w:r>
    </w:p>
    <w:p>
      <w:pPr>
        <w:spacing w:after="140"/>
      </w:pPr>
      <w:r>
        <w:rPr>
          <w:color w:val="111827"/>
          <w:sz w:val="22"/>
          <w:szCs w:val="22"/>
        </w:rPr>
        <w:t xml:space="preserve">11. Limitations</w:t>
      </w:r>
    </w:p>
    <w:p>
      <w:pPr>
        <w:spacing w:after="140"/>
      </w:pPr>
      <w:r>
        <w:rPr>
          <w:color w:val="111827"/>
          <w:sz w:val="22"/>
          <w:szCs w:val="22"/>
        </w:rPr>
        <w:t xml:space="preserve">12. Future Scope</w:t>
      </w:r>
    </w:p>
    <w:p>
      <w:pPr>
        <w:spacing w:after="140"/>
      </w:pPr>
      <w:r>
        <w:rPr>
          <w:color w:val="111827"/>
          <w:sz w:val="22"/>
          <w:szCs w:val="22"/>
        </w:rPr>
        <w:t xml:space="preserve">13. Conclusion</w:t>
      </w:r>
    </w:p>
    <w:p>
      <w:pPr>
        <w:spacing w:after="140"/>
      </w:pPr>
      <w:r>
        <w:rPr>
          <w:color w:val="111827"/>
          <w:sz w:val="22"/>
          <w:szCs w:val="22"/>
        </w:rPr>
        <w:t xml:space="preserve">14. References</w:t>
      </w:r>
    </w:p>
    <w:p>
      <w:r>
        <w:br w:type="page"/>
      </w:r>
    </w:p>
    <w:p>
      <w:pPr>
        <w:pStyle w:val="Heading1"/>
        <w:pBdr>
          <w:bottom w:val="single" w:color="2563EB" w:sz="8" w:space="4"/>
        </w:pBdr>
        <w:spacing w:after="200" w:before="360"/>
      </w:pPr>
      <w:r>
        <w:rPr>
          <w:b/>
          <w:bCs/>
          <w:color w:val="1F2937"/>
          <w:sz w:val="30"/>
          <w:szCs w:val="30"/>
        </w:rPr>
        <w:t xml:space="preserve">1. Abstract</w:t>
      </w:r>
    </w:p>
    <w:p>
      <w:pPr>
        <w:spacing w:after="160" w:line="300"/>
        <w:jc w:val="both"/>
      </w:pPr>
      <w:r>
        <w:rPr>
          <w:sz w:val="22"/>
          <w:szCs w:val="22"/>
        </w:rPr>
        <w:t xml:space="preserve">CampusPulse is a campus placement analytics and prediction dashboard built with Streamlit. It transforms a 5,000-record student placement dataset into an interactive web application that visualises placement trends, explains what drives a student's placement outcome, predicts an individual student's placement probability and expected salary package, and provides a read-only SQL interface for ad-hoc analysis. Two supervised machine learning models — a Random Forest classifier for placement prediction and a Random Forest regressor for package prediction — were trained in a Jupyter notebook and are served through the application at run time. This report documents the project's objectives, dataset, methodology, system architecture, features, results, limitations and scope for future work.</w:t>
      </w:r>
    </w:p>
    <w:p>
      <w:pPr>
        <w:pStyle w:val="Heading1"/>
        <w:pBdr>
          <w:bottom w:val="single" w:color="2563EB" w:sz="8" w:space="4"/>
        </w:pBdr>
        <w:spacing w:after="200" w:before="360"/>
      </w:pPr>
      <w:r>
        <w:rPr>
          <w:b/>
          <w:bCs/>
          <w:color w:val="1F2937"/>
          <w:sz w:val="30"/>
          <w:szCs w:val="30"/>
        </w:rPr>
        <w:t xml:space="preserve">2. Introduction</w:t>
      </w:r>
    </w:p>
    <w:p>
      <w:pPr>
        <w:spacing w:after="160" w:line="300"/>
        <w:jc w:val="both"/>
      </w:pPr>
      <w:r>
        <w:rPr>
          <w:sz w:val="22"/>
          <w:szCs w:val="22"/>
        </w:rPr>
        <w:t xml:space="preserve">Campus placements are one of the most closely watched outcomes of an undergraduate program, both for students planning their final years and for placement cells tracking departmental performance. Yet most of the data collected around placements — academic records, test scores, internships, projects, certifications and final outcomes — is rarely turned into something interactive that a student or an administrator can explore directly. CampusPulse addresses this gap by combining data analytics with machine learning in a single, browser-based dashboard.</w:t>
      </w:r>
    </w:p>
    <w:p>
      <w:pPr>
        <w:spacing w:after="160" w:line="300"/>
        <w:jc w:val="both"/>
      </w:pPr>
      <w:r>
        <w:rPr>
          <w:sz w:val="22"/>
          <w:szCs w:val="22"/>
        </w:rPr>
        <w:t xml:space="preserve">The project takes a historical dataset of 5,000 students across six engineering branches and builds a five-page Streamlit application on top of it. The application lets a user filter and explore placement trends, examine which academic and non-academic factors correlate most strongly with being placed, enter a hypothetical student profile to obtain a placement probability and an expected package, run custom SQL queries against the cleaned data, and inspect the underlying model performance and dataset.</w:t>
      </w:r>
    </w:p>
    <w:p>
      <w:pPr>
        <w:pStyle w:val="Heading1"/>
        <w:pBdr>
          <w:bottom w:val="single" w:color="2563EB" w:sz="8" w:space="4"/>
        </w:pBdr>
        <w:spacing w:after="200" w:before="360"/>
      </w:pPr>
      <w:r>
        <w:rPr>
          <w:b/>
          <w:bCs/>
          <w:color w:val="1F2937"/>
          <w:sz w:val="30"/>
          <w:szCs w:val="30"/>
        </w:rPr>
        <w:t xml:space="preserve">3. Objectives</w:t>
      </w:r>
    </w:p>
    <w:p>
      <w:pPr>
        <w:pStyle w:val="ListParagraph"/>
        <w:numPr>
          <w:ilvl w:val="0"/>
          <w:numId w:val="2"/>
        </w:numPr>
        <w:spacing w:after="90"/>
      </w:pPr>
      <w:r>
        <w:rPr>
          <w:sz w:val="22"/>
          <w:szCs w:val="22"/>
        </w:rPr>
        <w:t xml:space="preserve">Clean and structure a real-world-style placement dataset so it can be reliably analysed and modelled.</w:t>
      </w:r>
    </w:p>
    <w:p>
      <w:pPr>
        <w:pStyle w:val="ListParagraph"/>
        <w:numPr>
          <w:ilvl w:val="0"/>
          <w:numId w:val="2"/>
        </w:numPr>
        <w:spacing w:after="90"/>
      </w:pPr>
      <w:r>
        <w:rPr>
          <w:sz w:val="22"/>
          <w:szCs w:val="22"/>
        </w:rPr>
        <w:t xml:space="preserve">Identify the academic and non-academic factors (CGPA, backlogs, internships, projects, certifications, test scores, skills) that most influence whether a student is placed.</w:t>
      </w:r>
    </w:p>
    <w:p>
      <w:pPr>
        <w:pStyle w:val="ListParagraph"/>
        <w:numPr>
          <w:ilvl w:val="0"/>
          <w:numId w:val="2"/>
        </w:numPr>
        <w:spacing w:after="90"/>
      </w:pPr>
      <w:r>
        <w:rPr>
          <w:sz w:val="22"/>
          <w:szCs w:val="22"/>
        </w:rPr>
        <w:t xml:space="preserve">Train and evaluate machine learning models that predict (a) whether a student will be placed and (b) the salary package they can expect if placed.</w:t>
      </w:r>
    </w:p>
    <w:p>
      <w:pPr>
        <w:pStyle w:val="ListParagraph"/>
        <w:numPr>
          <w:ilvl w:val="0"/>
          <w:numId w:val="2"/>
        </w:numPr>
        <w:spacing w:after="90"/>
      </w:pPr>
      <w:r>
        <w:rPr>
          <w:sz w:val="22"/>
          <w:szCs w:val="22"/>
        </w:rPr>
        <w:t xml:space="preserve">Present these findings and predictions through an interactive, filterable web dashboard rather than static charts or a one-off report.</w:t>
      </w:r>
    </w:p>
    <w:p>
      <w:pPr>
        <w:pStyle w:val="ListParagraph"/>
        <w:numPr>
          <w:ilvl w:val="0"/>
          <w:numId w:val="2"/>
        </w:numPr>
        <w:spacing w:after="90"/>
      </w:pPr>
      <w:r>
        <w:rPr>
          <w:sz w:val="22"/>
          <w:szCs w:val="22"/>
        </w:rPr>
        <w:t xml:space="preserve">Give users a transparent, read-only SQL interface so they are not limited to the dashboard's pre-built views.</w:t>
      </w:r>
    </w:p>
    <w:p>
      <w:pPr>
        <w:pStyle w:val="ListParagraph"/>
        <w:numPr>
          <w:ilvl w:val="0"/>
          <w:numId w:val="2"/>
        </w:numPr>
        <w:spacing w:after="90"/>
      </w:pPr>
      <w:r>
        <w:rPr>
          <w:sz w:val="22"/>
          <w:szCs w:val="22"/>
        </w:rPr>
        <w:t xml:space="preserve">Document the models' accuracy and known limitations honestly, rather than presenting predictions as guarantees.</w:t>
      </w:r>
    </w:p>
    <w:p>
      <w:pPr>
        <w:pStyle w:val="Heading1"/>
        <w:pBdr>
          <w:bottom w:val="single" w:color="2563EB" w:sz="8" w:space="4"/>
        </w:pBdr>
        <w:spacing w:after="200" w:before="360"/>
      </w:pPr>
      <w:r>
        <w:rPr>
          <w:b/>
          <w:bCs/>
          <w:color w:val="1F2937"/>
          <w:sz w:val="30"/>
          <w:szCs w:val="30"/>
        </w:rPr>
        <w:t xml:space="preserve">4. Technology Stack</w:t>
      </w:r>
    </w:p>
    <w:p>
      <w:pPr>
        <w:spacing w:after="160" w:line="300"/>
        <w:jc w:val="both"/>
      </w:pPr>
      <w:r>
        <w:rPr>
          <w:sz w:val="22"/>
          <w:szCs w:val="22"/>
        </w:rPr>
        <w:t xml:space="preserve">The application is implemented entirely in Python and organised as a single Streamlit script backed by a Jupyter notebook used for analysis and model training.</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4260"/>
      </w:tblGrid>
      <w:tr>
        <w:trPr>
          <w:tblHeader/>
        </w:trPr>
        <w:tc>
          <w:tcPr>
            <w:tcW w:type="dxa" w:w="2600"/>
            <w:shd w:fill="1F2937" w:val="clear"/>
            <w:tcMar>
              <w:top w:type="dxa" w:w="80"/>
              <w:left w:type="dxa" w:w="120"/>
              <w:bottom w:type="dxa" w:w="80"/>
              <w:right w:type="dxa" w:w="120"/>
            </w:tcMar>
            <w:vAlign w:val="center"/>
          </w:tcPr>
          <w:p>
            <w:pPr>
              <w:jc w:val="left"/>
            </w:pPr>
            <w:r>
              <w:rPr>
                <w:b/>
                <w:bCs/>
                <w:color w:val="FFFFFF"/>
                <w:sz w:val="20"/>
                <w:szCs w:val="20"/>
              </w:rPr>
              <w:t xml:space="preserve">Layer</w:t>
            </w:r>
          </w:p>
        </w:tc>
        <w:tc>
          <w:tcPr>
            <w:tcW w:type="dxa" w:w="2900"/>
            <w:shd w:fill="1F2937" w:val="clear"/>
            <w:tcMar>
              <w:top w:type="dxa" w:w="80"/>
              <w:left w:type="dxa" w:w="120"/>
              <w:bottom w:type="dxa" w:w="80"/>
              <w:right w:type="dxa" w:w="120"/>
            </w:tcMar>
            <w:vAlign w:val="center"/>
          </w:tcPr>
          <w:p>
            <w:pPr>
              <w:jc w:val="left"/>
            </w:pPr>
            <w:r>
              <w:rPr>
                <w:b/>
                <w:bCs/>
                <w:color w:val="FFFFFF"/>
                <w:sz w:val="20"/>
                <w:szCs w:val="20"/>
              </w:rPr>
              <w:t xml:space="preserve">Technology</w:t>
            </w:r>
          </w:p>
        </w:tc>
        <w:tc>
          <w:tcPr>
            <w:tcW w:type="dxa" w:w="4260"/>
            <w:shd w:fill="1F2937" w:val="clear"/>
            <w:tcMar>
              <w:top w:type="dxa" w:w="80"/>
              <w:left w:type="dxa" w:w="120"/>
              <w:bottom w:type="dxa" w:w="80"/>
              <w:right w:type="dxa" w:w="120"/>
            </w:tcMar>
            <w:vAlign w:val="center"/>
          </w:tcPr>
          <w:p>
            <w:pPr>
              <w:jc w:val="left"/>
            </w:pPr>
            <w:r>
              <w:rPr>
                <w:b/>
                <w:bCs/>
                <w:color w:val="FFFFFF"/>
                <w:sz w:val="20"/>
                <w:szCs w:val="20"/>
              </w:rPr>
              <w:t xml:space="preserve">Purpose</w:t>
            </w:r>
          </w:p>
        </w:tc>
      </w:tr>
      <w:tr>
        <w:tc>
          <w:tcPr>
            <w:tcW w:type="dxa" w:w="2600"/>
            <w:tcMar>
              <w:top w:type="dxa" w:w="80"/>
              <w:left w:type="dxa" w:w="120"/>
              <w:bottom w:type="dxa" w:w="80"/>
              <w:right w:type="dxa" w:w="120"/>
            </w:tcMar>
            <w:vAlign w:val="center"/>
          </w:tcPr>
          <w:p>
            <w:pPr>
              <w:jc w:val="left"/>
            </w:pPr>
            <w:r>
              <w:rPr>
                <w:b w:val="false"/>
                <w:bCs w:val="false"/>
                <w:color w:val="111827"/>
                <w:sz w:val="20"/>
                <w:szCs w:val="20"/>
              </w:rPr>
              <w:t xml:space="preserve">Web application / UI</w:t>
            </w:r>
          </w:p>
        </w:tc>
        <w:tc>
          <w:tcPr>
            <w:tcW w:type="dxa" w:w="2900"/>
            <w:tcMar>
              <w:top w:type="dxa" w:w="80"/>
              <w:left w:type="dxa" w:w="120"/>
              <w:bottom w:type="dxa" w:w="80"/>
              <w:right w:type="dxa" w:w="120"/>
            </w:tcMar>
            <w:vAlign w:val="center"/>
          </w:tcPr>
          <w:p>
            <w:pPr>
              <w:jc w:val="left"/>
            </w:pPr>
            <w:r>
              <w:rPr>
                <w:b w:val="false"/>
                <w:bCs w:val="false"/>
                <w:color w:val="111827"/>
                <w:sz w:val="20"/>
                <w:szCs w:val="20"/>
              </w:rPr>
              <w:t xml:space="preserve">Streamlit (&gt;=1.50)</w:t>
            </w:r>
          </w:p>
        </w:tc>
        <w:tc>
          <w:tcPr>
            <w:tcW w:type="dxa" w:w="4260"/>
            <w:tcMar>
              <w:top w:type="dxa" w:w="80"/>
              <w:left w:type="dxa" w:w="120"/>
              <w:bottom w:type="dxa" w:w="80"/>
              <w:right w:type="dxa" w:w="120"/>
            </w:tcMar>
            <w:vAlign w:val="center"/>
          </w:tcPr>
          <w:p>
            <w:pPr>
              <w:jc w:val="left"/>
            </w:pPr>
            <w:r>
              <w:rPr>
                <w:b w:val="false"/>
                <w:bCs w:val="false"/>
                <w:color w:val="111827"/>
                <w:sz w:val="20"/>
                <w:szCs w:val="20"/>
              </w:rPr>
              <w:t xml:space="preserve">Renders the multi-page dashboard, widgets, forms and layout</w:t>
            </w:r>
          </w:p>
        </w:tc>
      </w:tr>
      <w:tr>
        <w:tc>
          <w:tcPr>
            <w:tcW w:type="dxa" w:w="2600"/>
            <w:tcMar>
              <w:top w:type="dxa" w:w="80"/>
              <w:left w:type="dxa" w:w="120"/>
              <w:bottom w:type="dxa" w:w="80"/>
              <w:right w:type="dxa" w:w="120"/>
            </w:tcMar>
            <w:vAlign w:val="center"/>
          </w:tcPr>
          <w:p>
            <w:pPr>
              <w:jc w:val="left"/>
            </w:pPr>
            <w:r>
              <w:rPr>
                <w:b w:val="false"/>
                <w:bCs w:val="false"/>
                <w:color w:val="111827"/>
                <w:sz w:val="20"/>
                <w:szCs w:val="20"/>
              </w:rPr>
              <w:t xml:space="preserve">Data visualisation</w:t>
            </w:r>
          </w:p>
        </w:tc>
        <w:tc>
          <w:tcPr>
            <w:tcW w:type="dxa" w:w="2900"/>
            <w:tcMar>
              <w:top w:type="dxa" w:w="80"/>
              <w:left w:type="dxa" w:w="120"/>
              <w:bottom w:type="dxa" w:w="80"/>
              <w:right w:type="dxa" w:w="120"/>
            </w:tcMar>
            <w:vAlign w:val="center"/>
          </w:tcPr>
          <w:p>
            <w:pPr>
              <w:jc w:val="left"/>
            </w:pPr>
            <w:r>
              <w:rPr>
                <w:b w:val="false"/>
                <w:bCs w:val="false"/>
                <w:color w:val="111827"/>
                <w:sz w:val="20"/>
                <w:szCs w:val="20"/>
              </w:rPr>
              <w:t xml:space="preserve">Plotly Express / Graph Objects</w:t>
            </w:r>
          </w:p>
        </w:tc>
        <w:tc>
          <w:tcPr>
            <w:tcW w:type="dxa" w:w="4260"/>
            <w:tcMar>
              <w:top w:type="dxa" w:w="80"/>
              <w:left w:type="dxa" w:w="120"/>
              <w:bottom w:type="dxa" w:w="80"/>
              <w:right w:type="dxa" w:w="120"/>
            </w:tcMar>
            <w:vAlign w:val="center"/>
          </w:tcPr>
          <w:p>
            <w:pPr>
              <w:jc w:val="left"/>
            </w:pPr>
            <w:r>
              <w:rPr>
                <w:b w:val="false"/>
                <w:bCs w:val="false"/>
                <w:color w:val="111827"/>
                <w:sz w:val="20"/>
                <w:szCs w:val="20"/>
              </w:rPr>
              <w:t xml:space="preserve">Interactive bar, box, histogram charts and the prediction gauge</w:t>
            </w:r>
          </w:p>
        </w:tc>
      </w:tr>
      <w:tr>
        <w:tc>
          <w:tcPr>
            <w:tcW w:type="dxa" w:w="2600"/>
            <w:tcMar>
              <w:top w:type="dxa" w:w="80"/>
              <w:left w:type="dxa" w:w="120"/>
              <w:bottom w:type="dxa" w:w="80"/>
              <w:right w:type="dxa" w:w="120"/>
            </w:tcMar>
            <w:vAlign w:val="center"/>
          </w:tcPr>
          <w:p>
            <w:pPr>
              <w:jc w:val="left"/>
            </w:pPr>
            <w:r>
              <w:rPr>
                <w:b w:val="false"/>
                <w:bCs w:val="false"/>
                <w:color w:val="111827"/>
                <w:sz w:val="20"/>
                <w:szCs w:val="20"/>
              </w:rPr>
              <w:t xml:space="preserve">Data handling</w:t>
            </w:r>
          </w:p>
        </w:tc>
        <w:tc>
          <w:tcPr>
            <w:tcW w:type="dxa" w:w="2900"/>
            <w:tcMar>
              <w:top w:type="dxa" w:w="80"/>
              <w:left w:type="dxa" w:w="120"/>
              <w:bottom w:type="dxa" w:w="80"/>
              <w:right w:type="dxa" w:w="120"/>
            </w:tcMar>
            <w:vAlign w:val="center"/>
          </w:tcPr>
          <w:p>
            <w:pPr>
              <w:jc w:val="left"/>
            </w:pPr>
            <w:r>
              <w:rPr>
                <w:b w:val="false"/>
                <w:bCs w:val="false"/>
                <w:color w:val="111827"/>
                <w:sz w:val="20"/>
                <w:szCs w:val="20"/>
              </w:rPr>
              <w:t xml:space="preserve">pandas, numpy</w:t>
            </w:r>
          </w:p>
        </w:tc>
        <w:tc>
          <w:tcPr>
            <w:tcW w:type="dxa" w:w="4260"/>
            <w:tcMar>
              <w:top w:type="dxa" w:w="80"/>
              <w:left w:type="dxa" w:w="120"/>
              <w:bottom w:type="dxa" w:w="80"/>
              <w:right w:type="dxa" w:w="120"/>
            </w:tcMar>
            <w:vAlign w:val="center"/>
          </w:tcPr>
          <w:p>
            <w:pPr>
              <w:jc w:val="left"/>
            </w:pPr>
            <w:r>
              <w:rPr>
                <w:b w:val="false"/>
                <w:bCs w:val="false"/>
                <w:color w:val="111827"/>
                <w:sz w:val="20"/>
                <w:szCs w:val="20"/>
              </w:rPr>
              <w:t xml:space="preserve">Loading, cleaning, filtering and aggregating the dataset</w:t>
            </w:r>
          </w:p>
        </w:tc>
      </w:tr>
      <w:tr>
        <w:tc>
          <w:tcPr>
            <w:tcW w:type="dxa" w:w="2600"/>
            <w:tcMar>
              <w:top w:type="dxa" w:w="80"/>
              <w:left w:type="dxa" w:w="120"/>
              <w:bottom w:type="dxa" w:w="80"/>
              <w:right w:type="dxa" w:w="120"/>
            </w:tcMar>
            <w:vAlign w:val="center"/>
          </w:tcPr>
          <w:p>
            <w:pPr>
              <w:jc w:val="left"/>
            </w:pPr>
            <w:r>
              <w:rPr>
                <w:b w:val="false"/>
                <w:bCs w:val="false"/>
                <w:color w:val="111827"/>
                <w:sz w:val="20"/>
                <w:szCs w:val="20"/>
              </w:rPr>
              <w:t xml:space="preserve">Machine learning</w:t>
            </w:r>
          </w:p>
        </w:tc>
        <w:tc>
          <w:tcPr>
            <w:tcW w:type="dxa" w:w="2900"/>
            <w:tcMar>
              <w:top w:type="dxa" w:w="80"/>
              <w:left w:type="dxa" w:w="120"/>
              <w:bottom w:type="dxa" w:w="80"/>
              <w:right w:type="dxa" w:w="120"/>
            </w:tcMar>
            <w:vAlign w:val="center"/>
          </w:tcPr>
          <w:p>
            <w:pPr>
              <w:jc w:val="left"/>
            </w:pPr>
            <w:r>
              <w:rPr>
                <w:b w:val="false"/>
                <w:bCs w:val="false"/>
                <w:color w:val="111827"/>
                <w:sz w:val="20"/>
                <w:szCs w:val="20"/>
              </w:rPr>
              <w:t xml:space="preserve">scikit-learn (1.9.1)</w:t>
            </w:r>
          </w:p>
        </w:tc>
        <w:tc>
          <w:tcPr>
            <w:tcW w:type="dxa" w:w="4260"/>
            <w:tcMar>
              <w:top w:type="dxa" w:w="80"/>
              <w:left w:type="dxa" w:w="120"/>
              <w:bottom w:type="dxa" w:w="80"/>
              <w:right w:type="dxa" w:w="120"/>
            </w:tcMar>
            <w:vAlign w:val="center"/>
          </w:tcPr>
          <w:p>
            <w:pPr>
              <w:jc w:val="left"/>
            </w:pPr>
            <w:r>
              <w:rPr>
                <w:b w:val="false"/>
                <w:bCs w:val="false"/>
                <w:color w:val="111827"/>
                <w:sz w:val="20"/>
                <w:szCs w:val="20"/>
              </w:rPr>
              <w:t xml:space="preserve">Random Forest classifier and regressor, Logistic Regression baseline</w:t>
            </w:r>
          </w:p>
        </w:tc>
      </w:tr>
      <w:tr>
        <w:tc>
          <w:tcPr>
            <w:tcW w:type="dxa" w:w="2600"/>
            <w:tcMar>
              <w:top w:type="dxa" w:w="80"/>
              <w:left w:type="dxa" w:w="120"/>
              <w:bottom w:type="dxa" w:w="80"/>
              <w:right w:type="dxa" w:w="120"/>
            </w:tcMar>
            <w:vAlign w:val="center"/>
          </w:tcPr>
          <w:p>
            <w:pPr>
              <w:jc w:val="left"/>
            </w:pPr>
            <w:r>
              <w:rPr>
                <w:b w:val="false"/>
                <w:bCs w:val="false"/>
                <w:color w:val="111827"/>
                <w:sz w:val="20"/>
                <w:szCs w:val="20"/>
              </w:rPr>
              <w:t xml:space="preserve">Model persistence</w:t>
            </w:r>
          </w:p>
        </w:tc>
        <w:tc>
          <w:tcPr>
            <w:tcW w:type="dxa" w:w="2900"/>
            <w:tcMar>
              <w:top w:type="dxa" w:w="80"/>
              <w:left w:type="dxa" w:w="120"/>
              <w:bottom w:type="dxa" w:w="80"/>
              <w:right w:type="dxa" w:w="120"/>
            </w:tcMar>
            <w:vAlign w:val="center"/>
          </w:tcPr>
          <w:p>
            <w:pPr>
              <w:jc w:val="left"/>
            </w:pPr>
            <w:r>
              <w:rPr>
                <w:b w:val="false"/>
                <w:bCs w:val="false"/>
                <w:color w:val="111827"/>
                <w:sz w:val="20"/>
                <w:szCs w:val="20"/>
              </w:rPr>
              <w:t xml:space="preserve">joblib</w:t>
            </w:r>
          </w:p>
        </w:tc>
        <w:tc>
          <w:tcPr>
            <w:tcW w:type="dxa" w:w="4260"/>
            <w:tcMar>
              <w:top w:type="dxa" w:w="80"/>
              <w:left w:type="dxa" w:w="120"/>
              <w:bottom w:type="dxa" w:w="80"/>
              <w:right w:type="dxa" w:w="120"/>
            </w:tcMar>
            <w:vAlign w:val="center"/>
          </w:tcPr>
          <w:p>
            <w:pPr>
              <w:jc w:val="left"/>
            </w:pPr>
            <w:r>
              <w:rPr>
                <w:b w:val="false"/>
                <w:bCs w:val="false"/>
                <w:color w:val="111827"/>
                <w:sz w:val="20"/>
                <w:szCs w:val="20"/>
              </w:rPr>
              <w:t xml:space="preserve">Saving/loading the trained .pkl model files</w:t>
            </w:r>
          </w:p>
        </w:tc>
      </w:tr>
      <w:tr>
        <w:tc>
          <w:tcPr>
            <w:tcW w:type="dxa" w:w="2600"/>
            <w:tcMar>
              <w:top w:type="dxa" w:w="80"/>
              <w:left w:type="dxa" w:w="120"/>
              <w:bottom w:type="dxa" w:w="80"/>
              <w:right w:type="dxa" w:w="120"/>
            </w:tcMar>
            <w:vAlign w:val="center"/>
          </w:tcPr>
          <w:p>
            <w:pPr>
              <w:jc w:val="left"/>
            </w:pPr>
            <w:r>
              <w:rPr>
                <w:b w:val="false"/>
                <w:bCs w:val="false"/>
                <w:color w:val="111827"/>
                <w:sz w:val="20"/>
                <w:szCs w:val="20"/>
              </w:rPr>
              <w:t xml:space="preserve">Ad-hoc querying</w:t>
            </w:r>
          </w:p>
        </w:tc>
        <w:tc>
          <w:tcPr>
            <w:tcW w:type="dxa" w:w="2900"/>
            <w:tcMar>
              <w:top w:type="dxa" w:w="80"/>
              <w:left w:type="dxa" w:w="120"/>
              <w:bottom w:type="dxa" w:w="80"/>
              <w:right w:type="dxa" w:w="120"/>
            </w:tcMar>
            <w:vAlign w:val="center"/>
          </w:tcPr>
          <w:p>
            <w:pPr>
              <w:jc w:val="left"/>
            </w:pPr>
            <w:r>
              <w:rPr>
                <w:b w:val="false"/>
                <w:bCs w:val="false"/>
                <w:color w:val="111827"/>
                <w:sz w:val="20"/>
                <w:szCs w:val="20"/>
              </w:rPr>
              <w:t xml:space="preserve">SQLite (in-memory, sqlite3)</w:t>
            </w:r>
          </w:p>
        </w:tc>
        <w:tc>
          <w:tcPr>
            <w:tcW w:type="dxa" w:w="4260"/>
            <w:tcMar>
              <w:top w:type="dxa" w:w="80"/>
              <w:left w:type="dxa" w:w="120"/>
              <w:bottom w:type="dxa" w:w="80"/>
              <w:right w:type="dxa" w:w="120"/>
            </w:tcMar>
            <w:vAlign w:val="center"/>
          </w:tcPr>
          <w:p>
            <w:pPr>
              <w:jc w:val="left"/>
            </w:pPr>
            <w:r>
              <w:rPr>
                <w:b w:val="false"/>
                <w:bCs w:val="false"/>
                <w:color w:val="111827"/>
                <w:sz w:val="20"/>
                <w:szCs w:val="20"/>
              </w:rPr>
              <w:t xml:space="preserve">Powers the read-only SQL Explorer page</w:t>
            </w:r>
          </w:p>
        </w:tc>
      </w:tr>
      <w:tr>
        <w:tc>
          <w:tcPr>
            <w:tcW w:type="dxa" w:w="2600"/>
            <w:tcMar>
              <w:top w:type="dxa" w:w="80"/>
              <w:left w:type="dxa" w:w="120"/>
              <w:bottom w:type="dxa" w:w="80"/>
              <w:right w:type="dxa" w:w="120"/>
            </w:tcMar>
            <w:vAlign w:val="center"/>
          </w:tcPr>
          <w:p>
            <w:pPr>
              <w:jc w:val="left"/>
            </w:pPr>
            <w:r>
              <w:rPr>
                <w:b w:val="false"/>
                <w:bCs w:val="false"/>
                <w:color w:val="111827"/>
                <w:sz w:val="20"/>
                <w:szCs w:val="20"/>
              </w:rPr>
              <w:t xml:space="preserve">Analysis &amp; training</w:t>
            </w:r>
          </w:p>
        </w:tc>
        <w:tc>
          <w:tcPr>
            <w:tcW w:type="dxa" w:w="2900"/>
            <w:tcMar>
              <w:top w:type="dxa" w:w="80"/>
              <w:left w:type="dxa" w:w="120"/>
              <w:bottom w:type="dxa" w:w="80"/>
              <w:right w:type="dxa" w:w="120"/>
            </w:tcMar>
            <w:vAlign w:val="center"/>
          </w:tcPr>
          <w:p>
            <w:pPr>
              <w:jc w:val="left"/>
            </w:pPr>
            <w:r>
              <w:rPr>
                <w:b w:val="false"/>
                <w:bCs w:val="false"/>
                <w:color w:val="111827"/>
                <w:sz w:val="20"/>
                <w:szCs w:val="20"/>
              </w:rPr>
              <w:t xml:space="preserve">Jupyter Notebook</w:t>
            </w:r>
          </w:p>
        </w:tc>
        <w:tc>
          <w:tcPr>
            <w:tcW w:type="dxa" w:w="4260"/>
            <w:tcMar>
              <w:top w:type="dxa" w:w="80"/>
              <w:left w:type="dxa" w:w="120"/>
              <w:bottom w:type="dxa" w:w="80"/>
              <w:right w:type="dxa" w:w="120"/>
            </w:tcMar>
            <w:vAlign w:val="center"/>
          </w:tcPr>
          <w:p>
            <w:pPr>
              <w:jc w:val="left"/>
            </w:pPr>
            <w:r>
              <w:rPr>
                <w:b w:val="false"/>
                <w:bCs w:val="false"/>
                <w:color w:val="111827"/>
                <w:sz w:val="20"/>
                <w:szCs w:val="20"/>
              </w:rPr>
              <w:t xml:space="preserve">EDA, SQL analysis and model training (CampusPulse.ipynb)</w:t>
            </w:r>
          </w:p>
        </w:tc>
      </w:tr>
      <w:tr>
        <w:tc>
          <w:tcPr>
            <w:tcW w:type="dxa" w:w="2600"/>
            <w:tcMar>
              <w:top w:type="dxa" w:w="80"/>
              <w:left w:type="dxa" w:w="120"/>
              <w:bottom w:type="dxa" w:w="80"/>
              <w:right w:type="dxa" w:w="120"/>
            </w:tcMar>
            <w:vAlign w:val="center"/>
          </w:tcPr>
          <w:p>
            <w:pPr>
              <w:jc w:val="left"/>
            </w:pPr>
            <w:r>
              <w:rPr>
                <w:b w:val="false"/>
                <w:bCs w:val="false"/>
                <w:color w:val="111827"/>
                <w:sz w:val="20"/>
                <w:szCs w:val="20"/>
              </w:rPr>
              <w:t xml:space="preserve">Deployment</w:t>
            </w:r>
          </w:p>
        </w:tc>
        <w:tc>
          <w:tcPr>
            <w:tcW w:type="dxa" w:w="2900"/>
            <w:tcMar>
              <w:top w:type="dxa" w:w="80"/>
              <w:left w:type="dxa" w:w="120"/>
              <w:bottom w:type="dxa" w:w="80"/>
              <w:right w:type="dxa" w:w="120"/>
            </w:tcMar>
            <w:vAlign w:val="center"/>
          </w:tcPr>
          <w:p>
            <w:pPr>
              <w:jc w:val="left"/>
            </w:pPr>
            <w:r>
              <w:rPr>
                <w:b w:val="false"/>
                <w:bCs w:val="false"/>
                <w:color w:val="111827"/>
                <w:sz w:val="20"/>
                <w:szCs w:val="20"/>
              </w:rPr>
              <w:t xml:space="preserve">Streamlit Community Cloud</w:t>
            </w:r>
          </w:p>
        </w:tc>
        <w:tc>
          <w:tcPr>
            <w:tcW w:type="dxa" w:w="4260"/>
            <w:tcMar>
              <w:top w:type="dxa" w:w="80"/>
              <w:left w:type="dxa" w:w="120"/>
              <w:bottom w:type="dxa" w:w="80"/>
              <w:right w:type="dxa" w:w="120"/>
            </w:tcMar>
            <w:vAlign w:val="center"/>
          </w:tcPr>
          <w:p>
            <w:pPr>
              <w:jc w:val="left"/>
            </w:pPr>
            <w:r>
              <w:rPr>
                <w:b w:val="false"/>
                <w:bCs w:val="false"/>
                <w:color w:val="111827"/>
                <w:sz w:val="20"/>
                <w:szCs w:val="20"/>
              </w:rPr>
              <w:t xml:space="preserve">Hosting target described in the README</w:t>
            </w:r>
          </w:p>
        </w:tc>
      </w:tr>
    </w:tbl>
    <w:p>
      <w:pPr>
        <w:spacing w:after="240" w:before="80"/>
        <w:jc w:val="center"/>
      </w:pPr>
      <w:r>
        <w:rPr>
          <w:i/>
          <w:iCs/>
          <w:color w:val="6B7280"/>
          <w:sz w:val="18"/>
          <w:szCs w:val="18"/>
        </w:rPr>
        <w:t xml:space="preserve">Table 4.1 — Technologies used in CampusPulse and their role in the system</w:t>
      </w:r>
    </w:p>
    <w:p>
      <w:pPr>
        <w:pStyle w:val="Heading1"/>
        <w:pBdr>
          <w:bottom w:val="single" w:color="2563EB" w:sz="8" w:space="4"/>
        </w:pBdr>
        <w:spacing w:after="200" w:before="360"/>
      </w:pPr>
      <w:r>
        <w:rPr>
          <w:b/>
          <w:bCs/>
          <w:color w:val="1F2937"/>
          <w:sz w:val="30"/>
          <w:szCs w:val="30"/>
        </w:rPr>
        <w:t xml:space="preserve">5. Dataset Description</w:t>
      </w:r>
    </w:p>
    <w:p>
      <w:pPr>
        <w:spacing w:after="160" w:line="300"/>
        <w:jc w:val="both"/>
      </w:pPr>
      <w:r>
        <w:rPr>
          <w:sz w:val="22"/>
          <w:szCs w:val="22"/>
        </w:rPr>
        <w:t xml:space="preserve">The application is driven by college_placement_analytics_5000.csv, a dataset of 5,000 student records and 20 columns, grouped into four categories:</w:t>
      </w:r>
    </w:p>
    <w:p>
      <w:pPr>
        <w:pStyle w:val="ListParagraph"/>
        <w:numPr>
          <w:ilvl w:val="0"/>
          <w:numId w:val="3"/>
        </w:numPr>
        <w:spacing w:after="90"/>
      </w:pPr>
      <w:r>
        <w:rPr>
          <w:sz w:val="22"/>
          <w:szCs w:val="22"/>
        </w:rPr>
        <w:t xml:space="preserve">Profile — Student_ID, Gender, Graduation_Year (2024–2027), Branch (CSE, IT, ECE, EEE, Mechanical, Civil)</w:t>
      </w:r>
    </w:p>
    <w:p>
      <w:pPr>
        <w:pStyle w:val="ListParagraph"/>
        <w:numPr>
          <w:ilvl w:val="0"/>
          <w:numId w:val="3"/>
        </w:numPr>
        <w:spacing w:after="90"/>
      </w:pPr>
      <w:r>
        <w:rPr>
          <w:sz w:val="22"/>
          <w:szCs w:val="22"/>
        </w:rPr>
        <w:t xml:space="preserve">Academics — CGPA, Tenth_Percentage, Twelfth_Percentage, Backlogs</w:t>
      </w:r>
    </w:p>
    <w:p>
      <w:pPr>
        <w:pStyle w:val="ListParagraph"/>
        <w:numPr>
          <w:ilvl w:val="0"/>
          <w:numId w:val="3"/>
        </w:numPr>
        <w:spacing w:after="90"/>
      </w:pPr>
      <w:r>
        <w:rPr>
          <w:sz w:val="22"/>
          <w:szCs w:val="22"/>
        </w:rPr>
        <w:t xml:space="preserve">Experience — Internship, Projects, Certifications, Skills</w:t>
      </w:r>
    </w:p>
    <w:p>
      <w:pPr>
        <w:pStyle w:val="ListParagraph"/>
        <w:numPr>
          <w:ilvl w:val="0"/>
          <w:numId w:val="3"/>
        </w:numPr>
        <w:spacing w:after="90"/>
      </w:pPr>
      <w:r>
        <w:rPr>
          <w:sz w:val="22"/>
          <w:szCs w:val="22"/>
        </w:rPr>
        <w:t xml:space="preserve">Test scores — DSA_Score, Technical_Score, Aptitude_Score, Communication_Score</w:t>
      </w:r>
    </w:p>
    <w:p>
      <w:pPr>
        <w:pStyle w:val="ListParagraph"/>
        <w:numPr>
          <w:ilvl w:val="0"/>
          <w:numId w:val="3"/>
        </w:numPr>
        <w:spacing w:after="90"/>
      </w:pPr>
      <w:r>
        <w:rPr>
          <w:sz w:val="22"/>
          <w:szCs w:val="22"/>
        </w:rPr>
        <w:t xml:space="preserve">Outcome — Placement_Status, Company, Job_Role, Package_LPA</w:t>
      </w:r>
    </w:p>
    <w:p>
      <w:pPr>
        <w:pStyle w:val="Heading2"/>
        <w:spacing w:after="140" w:before="280"/>
      </w:pPr>
      <w:r>
        <w:rPr>
          <w:b/>
          <w:bCs/>
          <w:color w:val="2563EB"/>
          <w:sz w:val="24"/>
          <w:szCs w:val="24"/>
        </w:rPr>
        <w:t xml:space="preserve">5.1 Data Cleaning</w:t>
      </w:r>
    </w:p>
    <w:p>
      <w:pPr>
        <w:spacing w:after="160" w:line="300"/>
        <w:jc w:val="both"/>
      </w:pPr>
      <w:r>
        <w:rPr>
          <w:sz w:val="22"/>
          <w:szCs w:val="22"/>
        </w:rPr>
        <w:t xml:space="preserve">The same cleaning steps are applied consistently in both the notebook and the live application:</w:t>
      </w:r>
    </w:p>
    <w:p>
      <w:pPr>
        <w:pStyle w:val="ListParagraph"/>
        <w:numPr>
          <w:ilvl w:val="0"/>
          <w:numId w:val="2"/>
        </w:numPr>
        <w:spacing w:after="90"/>
      </w:pPr>
      <w:r>
        <w:rPr>
          <w:sz w:val="22"/>
          <w:szCs w:val="22"/>
        </w:rPr>
        <w:t xml:space="preserve">Duplicate rows are dropped.</w:t>
      </w:r>
    </w:p>
    <w:p>
      <w:pPr>
        <w:pStyle w:val="ListParagraph"/>
        <w:numPr>
          <w:ilvl w:val="0"/>
          <w:numId w:val="2"/>
        </w:numPr>
        <w:spacing w:after="90"/>
      </w:pPr>
      <w:r>
        <w:rPr>
          <w:sz w:val="22"/>
          <w:szCs w:val="22"/>
        </w:rPr>
        <w:t xml:space="preserve">Missing 10th and 12th percentage values are filled with the column median.</w:t>
      </w:r>
    </w:p>
    <w:p>
      <w:pPr>
        <w:pStyle w:val="ListParagraph"/>
        <w:numPr>
          <w:ilvl w:val="0"/>
          <w:numId w:val="2"/>
        </w:numPr>
        <w:spacing w:after="90"/>
      </w:pPr>
      <w:r>
        <w:rPr>
          <w:sz w:val="22"/>
          <w:szCs w:val="22"/>
        </w:rPr>
        <w:t xml:space="preserve">Missing Skills values are set to the literal string "Unknown".</w:t>
      </w:r>
    </w:p>
    <w:p>
      <w:pPr>
        <w:pStyle w:val="ListParagraph"/>
        <w:numPr>
          <w:ilvl w:val="0"/>
          <w:numId w:val="2"/>
        </w:numPr>
        <w:spacing w:after="90"/>
      </w:pPr>
      <w:r>
        <w:rPr>
          <w:sz w:val="22"/>
          <w:szCs w:val="22"/>
        </w:rPr>
        <w:t xml:space="preserve">Two derived binary columns are created: Internship_flag (Yes/No → 1/0) and Placed_flag (Placed/Not Placed → 1/0), which simplify aggregation and model training.</w:t>
      </w:r>
    </w:p>
    <w:p>
      <w:pPr>
        <w:pStyle w:val="Heading2"/>
        <w:spacing w:after="140" w:before="280"/>
      </w:pPr>
      <w:r>
        <w:rPr>
          <w:b/>
          <w:bCs/>
          <w:color w:val="2563EB"/>
          <w:sz w:val="24"/>
          <w:szCs w:val="24"/>
        </w:rPr>
        <w:t xml:space="preserve">5.2 Headline Findings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5600"/>
        <w:gridCol w:w="4160"/>
      </w:tblGrid>
      <w:tr>
        <w:trPr>
          <w:tblHeader/>
        </w:trPr>
        <w:tc>
          <w:tcPr>
            <w:tcW w:type="dxa" w:w="5600"/>
            <w:shd w:fill="1F2937" w:val="clear"/>
            <w:tcMar>
              <w:top w:type="dxa" w:w="80"/>
              <w:left w:type="dxa" w:w="120"/>
              <w:bottom w:type="dxa" w:w="80"/>
              <w:right w:type="dxa" w:w="120"/>
            </w:tcMar>
            <w:vAlign w:val="center"/>
          </w:tcPr>
          <w:p>
            <w:pPr>
              <w:jc w:val="left"/>
            </w:pPr>
            <w:r>
              <w:rPr>
                <w:b/>
                <w:bCs/>
                <w:color w:val="FFFFFF"/>
                <w:sz w:val="20"/>
                <w:szCs w:val="20"/>
              </w:rPr>
              <w:t xml:space="preserve">Metric</w:t>
            </w:r>
          </w:p>
        </w:tc>
        <w:tc>
          <w:tcPr>
            <w:tcW w:type="dxa" w:w="4160"/>
            <w:shd w:fill="1F2937" w:val="clear"/>
            <w:tcMar>
              <w:top w:type="dxa" w:w="80"/>
              <w:left w:type="dxa" w:w="120"/>
              <w:bottom w:type="dxa" w:w="80"/>
              <w:right w:type="dxa" w:w="120"/>
            </w:tcMar>
            <w:vAlign w:val="center"/>
          </w:tcPr>
          <w:p>
            <w:pPr>
              <w:jc w:val="left"/>
            </w:pPr>
            <w:r>
              <w:rPr>
                <w:b/>
                <w:bCs/>
                <w:color w:val="FFFFFF"/>
                <w:sz w:val="20"/>
                <w:szCs w:val="20"/>
              </w:rPr>
              <w:t xml:space="preserve">Value</w:t>
            </w:r>
          </w:p>
        </w:tc>
      </w:tr>
      <w:tr>
        <w:tc>
          <w:tcPr>
            <w:tcW w:type="dxa" w:w="5600"/>
            <w:tcMar>
              <w:top w:type="dxa" w:w="80"/>
              <w:left w:type="dxa" w:w="120"/>
              <w:bottom w:type="dxa" w:w="80"/>
              <w:right w:type="dxa" w:w="120"/>
            </w:tcMar>
            <w:vAlign w:val="center"/>
          </w:tcPr>
          <w:p>
            <w:pPr>
              <w:jc w:val="left"/>
            </w:pPr>
            <w:r>
              <w:rPr>
                <w:b w:val="false"/>
                <w:bCs w:val="false"/>
                <w:color w:val="111827"/>
                <w:sz w:val="20"/>
                <w:szCs w:val="20"/>
              </w:rPr>
              <w:t xml:space="preserve">Overall placement rate</w:t>
            </w:r>
          </w:p>
        </w:tc>
        <w:tc>
          <w:tcPr>
            <w:tcW w:type="dxa" w:w="4160"/>
            <w:tcMar>
              <w:top w:type="dxa" w:w="80"/>
              <w:left w:type="dxa" w:w="120"/>
              <w:bottom w:type="dxa" w:w="80"/>
              <w:right w:type="dxa" w:w="120"/>
            </w:tcMar>
            <w:vAlign w:val="center"/>
          </w:tcPr>
          <w:p>
            <w:pPr>
              <w:jc w:val="left"/>
            </w:pPr>
            <w:r>
              <w:rPr>
                <w:b w:val="false"/>
                <w:bCs w:val="false"/>
                <w:color w:val="111827"/>
                <w:sz w:val="20"/>
                <w:szCs w:val="20"/>
              </w:rPr>
              <w:t xml:space="preserve">70%</w:t>
            </w:r>
          </w:p>
        </w:tc>
      </w:tr>
      <w:tr>
        <w:tc>
          <w:tcPr>
            <w:tcW w:type="dxa" w:w="5600"/>
            <w:tcMar>
              <w:top w:type="dxa" w:w="80"/>
              <w:left w:type="dxa" w:w="120"/>
              <w:bottom w:type="dxa" w:w="80"/>
              <w:right w:type="dxa" w:w="120"/>
            </w:tcMar>
            <w:vAlign w:val="center"/>
          </w:tcPr>
          <w:p>
            <w:pPr>
              <w:jc w:val="left"/>
            </w:pPr>
            <w:r>
              <w:rPr>
                <w:b w:val="false"/>
                <w:bCs w:val="false"/>
                <w:color w:val="111827"/>
                <w:sz w:val="20"/>
                <w:szCs w:val="20"/>
              </w:rPr>
              <w:t xml:space="preserve">Average package (placed students)</w:t>
            </w:r>
          </w:p>
        </w:tc>
        <w:tc>
          <w:tcPr>
            <w:tcW w:type="dxa" w:w="4160"/>
            <w:tcMar>
              <w:top w:type="dxa" w:w="80"/>
              <w:left w:type="dxa" w:w="120"/>
              <w:bottom w:type="dxa" w:w="80"/>
              <w:right w:type="dxa" w:w="120"/>
            </w:tcMar>
            <w:vAlign w:val="center"/>
          </w:tcPr>
          <w:p>
            <w:pPr>
              <w:jc w:val="left"/>
            </w:pPr>
            <w:r>
              <w:rPr>
                <w:b w:val="false"/>
                <w:bCs w:val="false"/>
                <w:color w:val="111827"/>
                <w:sz w:val="20"/>
                <w:szCs w:val="20"/>
              </w:rPr>
              <w:t xml:space="preserve">₹6.33 LPA</w:t>
            </w:r>
          </w:p>
        </w:tc>
      </w:tr>
      <w:tr>
        <w:tc>
          <w:tcPr>
            <w:tcW w:type="dxa" w:w="5600"/>
            <w:tcMar>
              <w:top w:type="dxa" w:w="80"/>
              <w:left w:type="dxa" w:w="120"/>
              <w:bottom w:type="dxa" w:w="80"/>
              <w:right w:type="dxa" w:w="120"/>
            </w:tcMar>
            <w:vAlign w:val="center"/>
          </w:tcPr>
          <w:p>
            <w:pPr>
              <w:jc w:val="left"/>
            </w:pPr>
            <w:r>
              <w:rPr>
                <w:b w:val="false"/>
                <w:bCs w:val="false"/>
                <w:color w:val="111827"/>
                <w:sz w:val="20"/>
                <w:szCs w:val="20"/>
              </w:rPr>
              <w:t xml:space="preserve">Median package (placed students)</w:t>
            </w:r>
          </w:p>
        </w:tc>
        <w:tc>
          <w:tcPr>
            <w:tcW w:type="dxa" w:w="4160"/>
            <w:tcMar>
              <w:top w:type="dxa" w:w="80"/>
              <w:left w:type="dxa" w:w="120"/>
              <w:bottom w:type="dxa" w:w="80"/>
              <w:right w:type="dxa" w:w="120"/>
            </w:tcMar>
            <w:vAlign w:val="center"/>
          </w:tcPr>
          <w:p>
            <w:pPr>
              <w:jc w:val="left"/>
            </w:pPr>
            <w:r>
              <w:rPr>
                <w:b w:val="false"/>
                <w:bCs w:val="false"/>
                <w:color w:val="111827"/>
                <w:sz w:val="20"/>
                <w:szCs w:val="20"/>
              </w:rPr>
              <w:t xml:space="preserve">₹6.35 LPA</w:t>
            </w:r>
          </w:p>
        </w:tc>
      </w:tr>
      <w:tr>
        <w:tc>
          <w:tcPr>
            <w:tcW w:type="dxa" w:w="5600"/>
            <w:tcMar>
              <w:top w:type="dxa" w:w="80"/>
              <w:left w:type="dxa" w:w="120"/>
              <w:bottom w:type="dxa" w:w="80"/>
              <w:right w:type="dxa" w:w="120"/>
            </w:tcMar>
            <w:vAlign w:val="center"/>
          </w:tcPr>
          <w:p>
            <w:pPr>
              <w:jc w:val="left"/>
            </w:pPr>
            <w:r>
              <w:rPr>
                <w:b w:val="false"/>
                <w:bCs w:val="false"/>
                <w:color w:val="111827"/>
                <w:sz w:val="20"/>
                <w:szCs w:val="20"/>
              </w:rPr>
              <w:t xml:space="preserve">Highest package</w:t>
            </w:r>
          </w:p>
        </w:tc>
        <w:tc>
          <w:tcPr>
            <w:tcW w:type="dxa" w:w="4160"/>
            <w:tcMar>
              <w:top w:type="dxa" w:w="80"/>
              <w:left w:type="dxa" w:w="120"/>
              <w:bottom w:type="dxa" w:w="80"/>
              <w:right w:type="dxa" w:w="120"/>
            </w:tcMar>
            <w:vAlign w:val="center"/>
          </w:tcPr>
          <w:p>
            <w:pPr>
              <w:jc w:val="left"/>
            </w:pPr>
            <w:r>
              <w:rPr>
                <w:b w:val="false"/>
                <w:bCs w:val="false"/>
                <w:color w:val="111827"/>
                <w:sz w:val="20"/>
                <w:szCs w:val="20"/>
              </w:rPr>
              <w:t xml:space="preserve">₹10.70 LPA</w:t>
            </w:r>
          </w:p>
        </w:tc>
      </w:tr>
      <w:tr>
        <w:tc>
          <w:tcPr>
            <w:tcW w:type="dxa" w:w="5600"/>
            <w:tcMar>
              <w:top w:type="dxa" w:w="80"/>
              <w:left w:type="dxa" w:w="120"/>
              <w:bottom w:type="dxa" w:w="80"/>
              <w:right w:type="dxa" w:w="120"/>
            </w:tcMar>
            <w:vAlign w:val="center"/>
          </w:tcPr>
          <w:p>
            <w:pPr>
              <w:jc w:val="left"/>
            </w:pPr>
            <w:r>
              <w:rPr>
                <w:b w:val="false"/>
                <w:bCs w:val="false"/>
                <w:color w:val="111827"/>
                <w:sz w:val="20"/>
                <w:szCs w:val="20"/>
              </w:rPr>
              <w:t xml:space="preserve">Placement rate — CSE</w:t>
            </w:r>
          </w:p>
        </w:tc>
        <w:tc>
          <w:tcPr>
            <w:tcW w:type="dxa" w:w="4160"/>
            <w:tcMar>
              <w:top w:type="dxa" w:w="80"/>
              <w:left w:type="dxa" w:w="120"/>
              <w:bottom w:type="dxa" w:w="80"/>
              <w:right w:type="dxa" w:w="120"/>
            </w:tcMar>
            <w:vAlign w:val="center"/>
          </w:tcPr>
          <w:p>
            <w:pPr>
              <w:jc w:val="left"/>
            </w:pPr>
            <w:r>
              <w:rPr>
                <w:b w:val="false"/>
                <w:bCs w:val="false"/>
                <w:color w:val="111827"/>
                <w:sz w:val="20"/>
                <w:szCs w:val="20"/>
              </w:rPr>
              <w:t xml:space="preserve">89.6%</w:t>
            </w:r>
          </w:p>
        </w:tc>
      </w:tr>
      <w:tr>
        <w:tc>
          <w:tcPr>
            <w:tcW w:type="dxa" w:w="5600"/>
            <w:tcMar>
              <w:top w:type="dxa" w:w="80"/>
              <w:left w:type="dxa" w:w="120"/>
              <w:bottom w:type="dxa" w:w="80"/>
              <w:right w:type="dxa" w:w="120"/>
            </w:tcMar>
            <w:vAlign w:val="center"/>
          </w:tcPr>
          <w:p>
            <w:pPr>
              <w:jc w:val="left"/>
            </w:pPr>
            <w:r>
              <w:rPr>
                <w:b w:val="false"/>
                <w:bCs w:val="false"/>
                <w:color w:val="111827"/>
                <w:sz w:val="20"/>
                <w:szCs w:val="20"/>
              </w:rPr>
              <w:t xml:space="preserve">Placement rate — IT</w:t>
            </w:r>
          </w:p>
        </w:tc>
        <w:tc>
          <w:tcPr>
            <w:tcW w:type="dxa" w:w="4160"/>
            <w:tcMar>
              <w:top w:type="dxa" w:w="80"/>
              <w:left w:type="dxa" w:w="120"/>
              <w:bottom w:type="dxa" w:w="80"/>
              <w:right w:type="dxa" w:w="120"/>
            </w:tcMar>
            <w:vAlign w:val="center"/>
          </w:tcPr>
          <w:p>
            <w:pPr>
              <w:jc w:val="left"/>
            </w:pPr>
            <w:r>
              <w:rPr>
                <w:b w:val="false"/>
                <w:bCs w:val="false"/>
                <w:color w:val="111827"/>
                <w:sz w:val="20"/>
                <w:szCs w:val="20"/>
              </w:rPr>
              <w:t xml:space="preserve">83.3%</w:t>
            </w:r>
          </w:p>
        </w:tc>
      </w:tr>
      <w:tr>
        <w:tc>
          <w:tcPr>
            <w:tcW w:type="dxa" w:w="5600"/>
            <w:tcMar>
              <w:top w:type="dxa" w:w="80"/>
              <w:left w:type="dxa" w:w="120"/>
              <w:bottom w:type="dxa" w:w="80"/>
              <w:right w:type="dxa" w:w="120"/>
            </w:tcMar>
            <w:vAlign w:val="center"/>
          </w:tcPr>
          <w:p>
            <w:pPr>
              <w:jc w:val="left"/>
            </w:pPr>
            <w:r>
              <w:rPr>
                <w:b w:val="false"/>
                <w:bCs w:val="false"/>
                <w:color w:val="111827"/>
                <w:sz w:val="20"/>
                <w:szCs w:val="20"/>
              </w:rPr>
              <w:t xml:space="preserve">Placement rate — Mechanical</w:t>
            </w:r>
          </w:p>
        </w:tc>
        <w:tc>
          <w:tcPr>
            <w:tcW w:type="dxa" w:w="4160"/>
            <w:tcMar>
              <w:top w:type="dxa" w:w="80"/>
              <w:left w:type="dxa" w:w="120"/>
              <w:bottom w:type="dxa" w:w="80"/>
              <w:right w:type="dxa" w:w="120"/>
            </w:tcMar>
            <w:vAlign w:val="center"/>
          </w:tcPr>
          <w:p>
            <w:pPr>
              <w:jc w:val="left"/>
            </w:pPr>
            <w:r>
              <w:rPr>
                <w:b w:val="false"/>
                <w:bCs w:val="false"/>
                <w:color w:val="111827"/>
                <w:sz w:val="20"/>
                <w:szCs w:val="20"/>
              </w:rPr>
              <w:t xml:space="preserve">46.1%</w:t>
            </w:r>
          </w:p>
        </w:tc>
      </w:tr>
      <w:tr>
        <w:tc>
          <w:tcPr>
            <w:tcW w:type="dxa" w:w="5600"/>
            <w:tcMar>
              <w:top w:type="dxa" w:w="80"/>
              <w:left w:type="dxa" w:w="120"/>
              <w:bottom w:type="dxa" w:w="80"/>
              <w:right w:type="dxa" w:w="120"/>
            </w:tcMar>
            <w:vAlign w:val="center"/>
          </w:tcPr>
          <w:p>
            <w:pPr>
              <w:jc w:val="left"/>
            </w:pPr>
            <w:r>
              <w:rPr>
                <w:b w:val="false"/>
                <w:bCs w:val="false"/>
                <w:color w:val="111827"/>
                <w:sz w:val="20"/>
                <w:szCs w:val="20"/>
              </w:rPr>
              <w:t xml:space="preserve">Placement rate — Civil</w:t>
            </w:r>
          </w:p>
        </w:tc>
        <w:tc>
          <w:tcPr>
            <w:tcW w:type="dxa" w:w="4160"/>
            <w:tcMar>
              <w:top w:type="dxa" w:w="80"/>
              <w:left w:type="dxa" w:w="120"/>
              <w:bottom w:type="dxa" w:w="80"/>
              <w:right w:type="dxa" w:w="120"/>
            </w:tcMar>
            <w:vAlign w:val="center"/>
          </w:tcPr>
          <w:p>
            <w:pPr>
              <w:jc w:val="left"/>
            </w:pPr>
            <w:r>
              <w:rPr>
                <w:b w:val="false"/>
                <w:bCs w:val="false"/>
                <w:color w:val="111827"/>
                <w:sz w:val="20"/>
                <w:szCs w:val="20"/>
              </w:rPr>
              <w:t xml:space="preserve">35.7%</w:t>
            </w:r>
          </w:p>
        </w:tc>
      </w:tr>
      <w:tr>
        <w:tc>
          <w:tcPr>
            <w:tcW w:type="dxa" w:w="5600"/>
            <w:tcMar>
              <w:top w:type="dxa" w:w="80"/>
              <w:left w:type="dxa" w:w="120"/>
              <w:bottom w:type="dxa" w:w="80"/>
              <w:right w:type="dxa" w:w="120"/>
            </w:tcMar>
            <w:vAlign w:val="center"/>
          </w:tcPr>
          <w:p>
            <w:pPr>
              <w:jc w:val="left"/>
            </w:pPr>
            <w:r>
              <w:rPr>
                <w:b w:val="false"/>
                <w:bCs w:val="false"/>
                <w:color w:val="111827"/>
                <w:sz w:val="20"/>
                <w:szCs w:val="20"/>
              </w:rPr>
              <w:t xml:space="preserve">Placement rate — no internship vs. with internship</w:t>
            </w:r>
          </w:p>
        </w:tc>
        <w:tc>
          <w:tcPr>
            <w:tcW w:type="dxa" w:w="4160"/>
            <w:tcMar>
              <w:top w:type="dxa" w:w="80"/>
              <w:left w:type="dxa" w:w="120"/>
              <w:bottom w:type="dxa" w:w="80"/>
              <w:right w:type="dxa" w:w="120"/>
            </w:tcMar>
            <w:vAlign w:val="center"/>
          </w:tcPr>
          <w:p>
            <w:pPr>
              <w:jc w:val="left"/>
            </w:pPr>
            <w:r>
              <w:rPr>
                <w:b w:val="false"/>
                <w:bCs w:val="false"/>
                <w:color w:val="111827"/>
                <w:sz w:val="20"/>
                <w:szCs w:val="20"/>
              </w:rPr>
              <w:t xml:space="preserve">58.5% → 86.2%</w:t>
            </w:r>
          </w:p>
        </w:tc>
      </w:tr>
      <w:tr>
        <w:tc>
          <w:tcPr>
            <w:tcW w:type="dxa" w:w="5600"/>
            <w:tcMar>
              <w:top w:type="dxa" w:w="80"/>
              <w:left w:type="dxa" w:w="120"/>
              <w:bottom w:type="dxa" w:w="80"/>
              <w:right w:type="dxa" w:w="120"/>
            </w:tcMar>
            <w:vAlign w:val="center"/>
          </w:tcPr>
          <w:p>
            <w:pPr>
              <w:jc w:val="left"/>
            </w:pPr>
            <w:r>
              <w:rPr>
                <w:b w:val="false"/>
                <w:bCs w:val="false"/>
                <w:color w:val="111827"/>
                <w:sz w:val="20"/>
                <w:szCs w:val="20"/>
              </w:rPr>
              <w:t xml:space="preserve">Placement rate — 0 projects vs. 4 projects</w:t>
            </w:r>
          </w:p>
        </w:tc>
        <w:tc>
          <w:tcPr>
            <w:tcW w:type="dxa" w:w="4160"/>
            <w:tcMar>
              <w:top w:type="dxa" w:w="80"/>
              <w:left w:type="dxa" w:w="120"/>
              <w:bottom w:type="dxa" w:w="80"/>
              <w:right w:type="dxa" w:w="120"/>
            </w:tcMar>
            <w:vAlign w:val="center"/>
          </w:tcPr>
          <w:p>
            <w:pPr>
              <w:jc w:val="left"/>
            </w:pPr>
            <w:r>
              <w:rPr>
                <w:b w:val="false"/>
                <w:bCs w:val="false"/>
                <w:color w:val="111827"/>
                <w:sz w:val="20"/>
                <w:szCs w:val="20"/>
              </w:rPr>
              <w:t xml:space="preserve">31% → 92%</w:t>
            </w:r>
          </w:p>
        </w:tc>
      </w:tr>
      <w:tr>
        <w:tc>
          <w:tcPr>
            <w:tcW w:type="dxa" w:w="5600"/>
            <w:tcMar>
              <w:top w:type="dxa" w:w="80"/>
              <w:left w:type="dxa" w:w="120"/>
              <w:bottom w:type="dxa" w:w="80"/>
              <w:right w:type="dxa" w:w="120"/>
            </w:tcMar>
            <w:vAlign w:val="center"/>
          </w:tcPr>
          <w:p>
            <w:pPr>
              <w:jc w:val="left"/>
            </w:pPr>
            <w:r>
              <w:rPr>
                <w:b w:val="false"/>
                <w:bCs w:val="false"/>
                <w:color w:val="111827"/>
                <w:sz w:val="20"/>
                <w:szCs w:val="20"/>
              </w:rPr>
              <w:t xml:space="preserve">Placement rate — 0 backlogs vs. 4 backlogs</w:t>
            </w:r>
          </w:p>
        </w:tc>
        <w:tc>
          <w:tcPr>
            <w:tcW w:type="dxa" w:w="4160"/>
            <w:tcMar>
              <w:top w:type="dxa" w:w="80"/>
              <w:left w:type="dxa" w:w="120"/>
              <w:bottom w:type="dxa" w:w="80"/>
              <w:right w:type="dxa" w:w="120"/>
            </w:tcMar>
            <w:vAlign w:val="center"/>
          </w:tcPr>
          <w:p>
            <w:pPr>
              <w:jc w:val="left"/>
            </w:pPr>
            <w:r>
              <w:rPr>
                <w:b w:val="false"/>
                <w:bCs w:val="false"/>
                <w:color w:val="111827"/>
                <w:sz w:val="20"/>
                <w:szCs w:val="20"/>
              </w:rPr>
              <w:t xml:space="preserve">83% → 35%</w:t>
            </w:r>
          </w:p>
        </w:tc>
      </w:tr>
    </w:tbl>
    <w:p>
      <w:pPr>
        <w:spacing w:after="240" w:before="80"/>
        <w:jc w:val="center"/>
      </w:pPr>
      <w:r>
        <w:rPr>
          <w:i/>
          <w:iCs/>
          <w:color w:val="6B7280"/>
          <w:sz w:val="18"/>
          <w:szCs w:val="18"/>
        </w:rPr>
        <w:t xml:space="preserve">Table 5.1 — Headline statistics derived from the cleaned dataset</w:t>
      </w:r>
    </w:p>
    <w:p>
      <w:pPr>
        <w:pStyle w:val="Heading1"/>
        <w:pBdr>
          <w:bottom w:val="single" w:color="2563EB" w:sz="8" w:space="4"/>
        </w:pBdr>
        <w:spacing w:after="200" w:before="360"/>
      </w:pPr>
      <w:r>
        <w:rPr>
          <w:b/>
          <w:bCs/>
          <w:color w:val="1F2937"/>
          <w:sz w:val="30"/>
          <w:szCs w:val="30"/>
        </w:rPr>
        <w:t xml:space="preserve">6. System Architecture</w:t>
      </w:r>
    </w:p>
    <w:p>
      <w:pPr>
        <w:spacing w:after="160" w:line="300"/>
        <w:jc w:val="both"/>
      </w:pPr>
      <w:r>
        <w:rPr>
          <w:sz w:val="22"/>
          <w:szCs w:val="22"/>
        </w:rPr>
        <w:t xml:space="preserve">CampusPulse follows a simple, single-process architecture: a Streamlit script (app.py) loads the CSV once into memory, caches it and the trained models using Streamlit's caching decorators, and renders one of five pages based on sidebar navigation. An in-memory SQLite database is built from the same cleaned data to power the SQL Explorer page.</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3600"/>
        <w:gridCol w:w="6160"/>
      </w:tblGrid>
      <w:tr>
        <w:trPr>
          <w:tblHeader/>
        </w:trPr>
        <w:tc>
          <w:tcPr>
            <w:tcW w:type="dxa" w:w="3600"/>
            <w:shd w:fill="1F2937" w:val="clear"/>
            <w:tcMar>
              <w:top w:type="dxa" w:w="80"/>
              <w:left w:type="dxa" w:w="120"/>
              <w:bottom w:type="dxa" w:w="80"/>
              <w:right w:type="dxa" w:w="120"/>
            </w:tcMar>
            <w:vAlign w:val="center"/>
          </w:tcPr>
          <w:p>
            <w:pPr>
              <w:jc w:val="left"/>
            </w:pPr>
            <w:r>
              <w:rPr>
                <w:b/>
                <w:bCs/>
                <w:color w:val="FFFFFF"/>
                <w:sz w:val="20"/>
                <w:szCs w:val="20"/>
              </w:rPr>
              <w:t xml:space="preserve">Component</w:t>
            </w:r>
          </w:p>
        </w:tc>
        <w:tc>
          <w:tcPr>
            <w:tcW w:type="dxa" w:w="6160"/>
            <w:shd w:fill="1F2937" w:val="clear"/>
            <w:tcMar>
              <w:top w:type="dxa" w:w="80"/>
              <w:left w:type="dxa" w:w="120"/>
              <w:bottom w:type="dxa" w:w="80"/>
              <w:right w:type="dxa" w:w="120"/>
            </w:tcMar>
            <w:vAlign w:val="center"/>
          </w:tcPr>
          <w:p>
            <w:pPr>
              <w:jc w:val="left"/>
            </w:pPr>
            <w:r>
              <w:rPr>
                <w:b/>
                <w:bCs/>
                <w:color w:val="FFFFFF"/>
                <w:sz w:val="20"/>
                <w:szCs w:val="20"/>
              </w:rPr>
              <w:t xml:space="preserve">Responsibility</w:t>
            </w:r>
          </w:p>
        </w:tc>
      </w:tr>
      <w:tr>
        <w:tc>
          <w:tcPr>
            <w:tcW w:type="dxa" w:w="3600"/>
            <w:tcMar>
              <w:top w:type="dxa" w:w="80"/>
              <w:left w:type="dxa" w:w="120"/>
              <w:bottom w:type="dxa" w:w="80"/>
              <w:right w:type="dxa" w:w="120"/>
            </w:tcMar>
            <w:vAlign w:val="center"/>
          </w:tcPr>
          <w:p>
            <w:pPr>
              <w:jc w:val="left"/>
            </w:pPr>
            <w:r>
              <w:rPr>
                <w:b w:val="false"/>
                <w:bCs w:val="false"/>
                <w:color w:val="111827"/>
                <w:sz w:val="20"/>
                <w:szCs w:val="20"/>
              </w:rPr>
              <w:t xml:space="preserve">data/college_placement_analytics_5000.csv</w:t>
            </w:r>
          </w:p>
        </w:tc>
        <w:tc>
          <w:tcPr>
            <w:tcW w:type="dxa" w:w="6160"/>
            <w:tcMar>
              <w:top w:type="dxa" w:w="80"/>
              <w:left w:type="dxa" w:w="120"/>
              <w:bottom w:type="dxa" w:w="80"/>
              <w:right w:type="dxa" w:w="120"/>
            </w:tcMar>
            <w:vAlign w:val="center"/>
          </w:tcPr>
          <w:p>
            <w:pPr>
              <w:jc w:val="left"/>
            </w:pPr>
            <w:r>
              <w:rPr>
                <w:b w:val="false"/>
                <w:bCs w:val="false"/>
                <w:color w:val="111827"/>
                <w:sz w:val="20"/>
                <w:szCs w:val="20"/>
              </w:rPr>
              <w:t xml:space="preserve">Raw source data (5,000 rows, 20 columns)</w:t>
            </w:r>
          </w:p>
        </w:tc>
      </w:tr>
      <w:tr>
        <w:tc>
          <w:tcPr>
            <w:tcW w:type="dxa" w:w="3600"/>
            <w:tcMar>
              <w:top w:type="dxa" w:w="80"/>
              <w:left w:type="dxa" w:w="120"/>
              <w:bottom w:type="dxa" w:w="80"/>
              <w:right w:type="dxa" w:w="120"/>
            </w:tcMar>
            <w:vAlign w:val="center"/>
          </w:tcPr>
          <w:p>
            <w:pPr>
              <w:jc w:val="left"/>
            </w:pPr>
            <w:r>
              <w:rPr>
                <w:b w:val="false"/>
                <w:bCs w:val="false"/>
                <w:color w:val="111827"/>
                <w:sz w:val="20"/>
                <w:szCs w:val="20"/>
              </w:rPr>
              <w:t xml:space="preserve">app.py — load_data()</w:t>
            </w:r>
          </w:p>
        </w:tc>
        <w:tc>
          <w:tcPr>
            <w:tcW w:type="dxa" w:w="6160"/>
            <w:tcMar>
              <w:top w:type="dxa" w:w="80"/>
              <w:left w:type="dxa" w:w="120"/>
              <w:bottom w:type="dxa" w:w="80"/>
              <w:right w:type="dxa" w:w="120"/>
            </w:tcMar>
            <w:vAlign w:val="center"/>
          </w:tcPr>
          <w:p>
            <w:pPr>
              <w:jc w:val="left"/>
            </w:pPr>
            <w:r>
              <w:rPr>
                <w:b w:val="false"/>
                <w:bCs w:val="false"/>
                <w:color w:val="111827"/>
                <w:sz w:val="20"/>
                <w:szCs w:val="20"/>
              </w:rPr>
              <w:t xml:space="preserve">Reads and cleans the CSV; cached with @st.cache_data</w:t>
            </w:r>
          </w:p>
        </w:tc>
      </w:tr>
      <w:tr>
        <w:tc>
          <w:tcPr>
            <w:tcW w:type="dxa" w:w="3600"/>
            <w:tcMar>
              <w:top w:type="dxa" w:w="80"/>
              <w:left w:type="dxa" w:w="120"/>
              <w:bottom w:type="dxa" w:w="80"/>
              <w:right w:type="dxa" w:w="120"/>
            </w:tcMar>
            <w:vAlign w:val="center"/>
          </w:tcPr>
          <w:p>
            <w:pPr>
              <w:jc w:val="left"/>
            </w:pPr>
            <w:r>
              <w:rPr>
                <w:b w:val="false"/>
                <w:bCs w:val="false"/>
                <w:color w:val="111827"/>
                <w:sz w:val="20"/>
                <w:szCs w:val="20"/>
              </w:rPr>
              <w:t xml:space="preserve">app.py — load_models()</w:t>
            </w:r>
          </w:p>
        </w:tc>
        <w:tc>
          <w:tcPr>
            <w:tcW w:type="dxa" w:w="6160"/>
            <w:tcMar>
              <w:top w:type="dxa" w:w="80"/>
              <w:left w:type="dxa" w:w="120"/>
              <w:bottom w:type="dxa" w:w="80"/>
              <w:right w:type="dxa" w:w="120"/>
            </w:tcMar>
            <w:vAlign w:val="center"/>
          </w:tcPr>
          <w:p>
            <w:pPr>
              <w:jc w:val="left"/>
            </w:pPr>
            <w:r>
              <w:rPr>
                <w:b w:val="false"/>
                <w:bCs w:val="false"/>
                <w:color w:val="111827"/>
                <w:sz w:val="20"/>
                <w:szCs w:val="20"/>
              </w:rPr>
              <w:t xml:space="preserve">Loads placement_model.pkl and salary_model.pkl; cached with @st.cache_resource</w:t>
            </w:r>
          </w:p>
        </w:tc>
      </w:tr>
      <w:tr>
        <w:tc>
          <w:tcPr>
            <w:tcW w:type="dxa" w:w="3600"/>
            <w:tcMar>
              <w:top w:type="dxa" w:w="80"/>
              <w:left w:type="dxa" w:w="120"/>
              <w:bottom w:type="dxa" w:w="80"/>
              <w:right w:type="dxa" w:w="120"/>
            </w:tcMar>
            <w:vAlign w:val="center"/>
          </w:tcPr>
          <w:p>
            <w:pPr>
              <w:jc w:val="left"/>
            </w:pPr>
            <w:r>
              <w:rPr>
                <w:b w:val="false"/>
                <w:bCs w:val="false"/>
                <w:color w:val="111827"/>
                <w:sz w:val="20"/>
                <w:szCs w:val="20"/>
              </w:rPr>
              <w:t xml:space="preserve">app.py — get_connection()</w:t>
            </w:r>
          </w:p>
        </w:tc>
        <w:tc>
          <w:tcPr>
            <w:tcW w:type="dxa" w:w="6160"/>
            <w:tcMar>
              <w:top w:type="dxa" w:w="80"/>
              <w:left w:type="dxa" w:w="120"/>
              <w:bottom w:type="dxa" w:w="80"/>
              <w:right w:type="dxa" w:w="120"/>
            </w:tcMar>
            <w:vAlign w:val="center"/>
          </w:tcPr>
          <w:p>
            <w:pPr>
              <w:jc w:val="left"/>
            </w:pPr>
            <w:r>
              <w:rPr>
                <w:b w:val="false"/>
                <w:bCs w:val="false"/>
                <w:color w:val="111827"/>
                <w:sz w:val="20"/>
                <w:szCs w:val="20"/>
              </w:rPr>
              <w:t xml:space="preserve">Builds an in-memory, read-only SQLite copy of the data for SQL Explorer</w:t>
            </w:r>
          </w:p>
        </w:tc>
      </w:tr>
      <w:tr>
        <w:tc>
          <w:tcPr>
            <w:tcW w:type="dxa" w:w="3600"/>
            <w:tcMar>
              <w:top w:type="dxa" w:w="80"/>
              <w:left w:type="dxa" w:w="120"/>
              <w:bottom w:type="dxa" w:w="80"/>
              <w:right w:type="dxa" w:w="120"/>
            </w:tcMar>
            <w:vAlign w:val="center"/>
          </w:tcPr>
          <w:p>
            <w:pPr>
              <w:jc w:val="left"/>
            </w:pPr>
            <w:r>
              <w:rPr>
                <w:b w:val="false"/>
                <w:bCs w:val="false"/>
                <w:color w:val="111827"/>
                <w:sz w:val="20"/>
                <w:szCs w:val="20"/>
              </w:rPr>
              <w:t xml:space="preserve">app.py — sidebar()</w:t>
            </w:r>
          </w:p>
        </w:tc>
        <w:tc>
          <w:tcPr>
            <w:tcW w:type="dxa" w:w="6160"/>
            <w:tcMar>
              <w:top w:type="dxa" w:w="80"/>
              <w:left w:type="dxa" w:w="120"/>
              <w:bottom w:type="dxa" w:w="80"/>
              <w:right w:type="dxa" w:w="120"/>
            </w:tcMar>
            <w:vAlign w:val="center"/>
          </w:tcPr>
          <w:p>
            <w:pPr>
              <w:jc w:val="left"/>
            </w:pPr>
            <w:r>
              <w:rPr>
                <w:b w:val="false"/>
                <w:bCs w:val="false"/>
                <w:color w:val="111827"/>
                <w:sz w:val="20"/>
                <w:szCs w:val="20"/>
              </w:rPr>
              <w:t xml:space="preserve">Page navigation and Branch / Graduation Year filters</w:t>
            </w:r>
          </w:p>
        </w:tc>
      </w:tr>
      <w:tr>
        <w:tc>
          <w:tcPr>
            <w:tcW w:type="dxa" w:w="3600"/>
            <w:tcMar>
              <w:top w:type="dxa" w:w="80"/>
              <w:left w:type="dxa" w:w="120"/>
              <w:bottom w:type="dxa" w:w="80"/>
              <w:right w:type="dxa" w:w="120"/>
            </w:tcMar>
            <w:vAlign w:val="center"/>
          </w:tcPr>
          <w:p>
            <w:pPr>
              <w:jc w:val="left"/>
            </w:pPr>
            <w:r>
              <w:rPr>
                <w:b w:val="false"/>
                <w:bCs w:val="false"/>
                <w:color w:val="111827"/>
                <w:sz w:val="20"/>
                <w:szCs w:val="20"/>
              </w:rPr>
              <w:t xml:space="preserve">app.py — page_* functions</w:t>
            </w:r>
          </w:p>
        </w:tc>
        <w:tc>
          <w:tcPr>
            <w:tcW w:type="dxa" w:w="6160"/>
            <w:tcMar>
              <w:top w:type="dxa" w:w="80"/>
              <w:left w:type="dxa" w:w="120"/>
              <w:bottom w:type="dxa" w:w="80"/>
              <w:right w:type="dxa" w:w="120"/>
            </w:tcMar>
            <w:vAlign w:val="center"/>
          </w:tcPr>
          <w:p>
            <w:pPr>
              <w:jc w:val="left"/>
            </w:pPr>
            <w:r>
              <w:rPr>
                <w:b w:val="false"/>
                <w:bCs w:val="false"/>
                <w:color w:val="111827"/>
                <w:sz w:val="20"/>
                <w:szCs w:val="20"/>
              </w:rPr>
              <w:t xml:space="preserve">One function per dashboard page (Overview, Insights, Predictor, SQL, Data &amp; Models)</w:t>
            </w:r>
          </w:p>
        </w:tc>
      </w:tr>
      <w:tr>
        <w:tc>
          <w:tcPr>
            <w:tcW w:type="dxa" w:w="3600"/>
            <w:tcMar>
              <w:top w:type="dxa" w:w="80"/>
              <w:left w:type="dxa" w:w="120"/>
              <w:bottom w:type="dxa" w:w="80"/>
              <w:right w:type="dxa" w:w="120"/>
            </w:tcMar>
            <w:vAlign w:val="center"/>
          </w:tcPr>
          <w:p>
            <w:pPr>
              <w:jc w:val="left"/>
            </w:pPr>
            <w:r>
              <w:rPr>
                <w:b w:val="false"/>
                <w:bCs w:val="false"/>
                <w:color w:val="111827"/>
                <w:sz w:val="20"/>
                <w:szCs w:val="20"/>
              </w:rPr>
              <w:t xml:space="preserve">models/*.pkl</w:t>
            </w:r>
          </w:p>
        </w:tc>
        <w:tc>
          <w:tcPr>
            <w:tcW w:type="dxa" w:w="6160"/>
            <w:tcMar>
              <w:top w:type="dxa" w:w="80"/>
              <w:left w:type="dxa" w:w="120"/>
              <w:bottom w:type="dxa" w:w="80"/>
              <w:right w:type="dxa" w:w="120"/>
            </w:tcMar>
            <w:vAlign w:val="center"/>
          </w:tcPr>
          <w:p>
            <w:pPr>
              <w:jc w:val="left"/>
            </w:pPr>
            <w:r>
              <w:rPr>
                <w:b w:val="false"/>
                <w:bCs w:val="false"/>
                <w:color w:val="111827"/>
                <w:sz w:val="20"/>
                <w:szCs w:val="20"/>
              </w:rPr>
              <w:t xml:space="preserve">Pre-trained Random Forest models produced by the notebook</w:t>
            </w:r>
          </w:p>
        </w:tc>
      </w:tr>
      <w:tr>
        <w:tc>
          <w:tcPr>
            <w:tcW w:type="dxa" w:w="3600"/>
            <w:tcMar>
              <w:top w:type="dxa" w:w="80"/>
              <w:left w:type="dxa" w:w="120"/>
              <w:bottom w:type="dxa" w:w="80"/>
              <w:right w:type="dxa" w:w="120"/>
            </w:tcMar>
            <w:vAlign w:val="center"/>
          </w:tcPr>
          <w:p>
            <w:pPr>
              <w:jc w:val="left"/>
            </w:pPr>
            <w:r>
              <w:rPr>
                <w:b w:val="false"/>
                <w:bCs w:val="false"/>
                <w:color w:val="111827"/>
                <w:sz w:val="20"/>
                <w:szCs w:val="20"/>
              </w:rPr>
              <w:t xml:space="preserve">notebooks/CampusPulse.ipynb</w:t>
            </w:r>
          </w:p>
        </w:tc>
        <w:tc>
          <w:tcPr>
            <w:tcW w:type="dxa" w:w="6160"/>
            <w:tcMar>
              <w:top w:type="dxa" w:w="80"/>
              <w:left w:type="dxa" w:w="120"/>
              <w:bottom w:type="dxa" w:w="80"/>
              <w:right w:type="dxa" w:w="120"/>
            </w:tcMar>
            <w:vAlign w:val="center"/>
          </w:tcPr>
          <w:p>
            <w:pPr>
              <w:jc w:val="left"/>
            </w:pPr>
            <w:r>
              <w:rPr>
                <w:b w:val="false"/>
                <w:bCs w:val="false"/>
                <w:color w:val="111827"/>
                <w:sz w:val="20"/>
                <w:szCs w:val="20"/>
              </w:rPr>
              <w:t xml:space="preserve">Offline EDA, SQL exploration and model training/retraining</w:t>
            </w:r>
          </w:p>
        </w:tc>
      </w:tr>
    </w:tbl>
    <w:p>
      <w:pPr>
        <w:spacing w:after="240" w:before="80"/>
        <w:jc w:val="center"/>
      </w:pPr>
      <w:r>
        <w:rPr>
          <w:i/>
          <w:iCs/>
          <w:color w:val="6B7280"/>
          <w:sz w:val="18"/>
          <w:szCs w:val="18"/>
        </w:rPr>
        <w:t xml:space="preserve">Table 6.1 — Major components of the CampusPulse system</w:t>
      </w:r>
    </w:p>
    <w:p>
      <w:pPr>
        <w:spacing w:after="160" w:line="300"/>
        <w:jc w:val="both"/>
      </w:pPr>
      <w:r>
        <w:rPr>
          <w:sz w:val="22"/>
          <w:szCs w:val="22"/>
        </w:rPr>
        <w:t xml:space="preserve">Data flow can be summarised as: CSV file → cleaning and caching in app.py → filtered/aggregated on demand by each page → rendered as Plotly charts, Streamlit tables or a prediction from the cached models.</w:t>
      </w:r>
    </w:p>
    <w:p>
      <w:pPr>
        <w:pStyle w:val="Heading1"/>
        <w:pBdr>
          <w:bottom w:val="single" w:color="2563EB" w:sz="8" w:space="4"/>
        </w:pBdr>
        <w:spacing w:after="200" w:before="360"/>
      </w:pPr>
      <w:r>
        <w:rPr>
          <w:b/>
          <w:bCs/>
          <w:color w:val="1F2937"/>
          <w:sz w:val="30"/>
          <w:szCs w:val="30"/>
        </w:rPr>
        <w:t xml:space="preserve">7. Project Structure</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4200"/>
        <w:gridCol w:w="5560"/>
      </w:tblGrid>
      <w:tr>
        <w:trPr>
          <w:tblHeader/>
        </w:trPr>
        <w:tc>
          <w:tcPr>
            <w:tcW w:type="dxa" w:w="4200"/>
            <w:shd w:fill="1F2937" w:val="clear"/>
            <w:tcMar>
              <w:top w:type="dxa" w:w="80"/>
              <w:left w:type="dxa" w:w="120"/>
              <w:bottom w:type="dxa" w:w="80"/>
              <w:right w:type="dxa" w:w="120"/>
            </w:tcMar>
            <w:vAlign w:val="center"/>
          </w:tcPr>
          <w:p>
            <w:pPr>
              <w:jc w:val="left"/>
            </w:pPr>
            <w:r>
              <w:rPr>
                <w:b/>
                <w:bCs/>
                <w:color w:val="FFFFFF"/>
                <w:sz w:val="20"/>
                <w:szCs w:val="20"/>
              </w:rPr>
              <w:t xml:space="preserve">Path</w:t>
            </w:r>
          </w:p>
        </w:tc>
        <w:tc>
          <w:tcPr>
            <w:tcW w:type="dxa" w:w="5560"/>
            <w:shd w:fill="1F2937" w:val="clear"/>
            <w:tcMar>
              <w:top w:type="dxa" w:w="80"/>
              <w:left w:type="dxa" w:w="120"/>
              <w:bottom w:type="dxa" w:w="80"/>
              <w:right w:type="dxa" w:w="120"/>
            </w:tcMar>
            <w:vAlign w:val="center"/>
          </w:tcPr>
          <w:p>
            <w:pPr>
              <w:jc w:val="left"/>
            </w:pPr>
            <w:r>
              <w:rPr>
                <w:b/>
                <w:bCs/>
                <w:color w:val="FFFFFF"/>
                <w:sz w:val="20"/>
                <w:szCs w:val="20"/>
              </w:rPr>
              <w:t xml:space="preserve">Description</w:t>
            </w:r>
          </w:p>
        </w:tc>
      </w:tr>
      <w:tr>
        <w:tc>
          <w:tcPr>
            <w:tcW w:type="dxa" w:w="4200"/>
            <w:tcMar>
              <w:top w:type="dxa" w:w="80"/>
              <w:left w:type="dxa" w:w="120"/>
              <w:bottom w:type="dxa" w:w="80"/>
              <w:right w:type="dxa" w:w="120"/>
            </w:tcMar>
            <w:vAlign w:val="center"/>
          </w:tcPr>
          <w:p>
            <w:pPr>
              <w:jc w:val="left"/>
            </w:pPr>
            <w:r>
              <w:rPr>
                <w:b w:val="false"/>
                <w:bCs w:val="false"/>
                <w:color w:val="111827"/>
                <w:sz w:val="20"/>
                <w:szCs w:val="20"/>
              </w:rPr>
              <w:t xml:space="preserve">app.py</w:t>
            </w:r>
          </w:p>
        </w:tc>
        <w:tc>
          <w:tcPr>
            <w:tcW w:type="dxa" w:w="5560"/>
            <w:tcMar>
              <w:top w:type="dxa" w:w="80"/>
              <w:left w:type="dxa" w:w="120"/>
              <w:bottom w:type="dxa" w:w="80"/>
              <w:right w:type="dxa" w:w="120"/>
            </w:tcMar>
            <w:vAlign w:val="center"/>
          </w:tcPr>
          <w:p>
            <w:pPr>
              <w:jc w:val="left"/>
            </w:pPr>
            <w:r>
              <w:rPr>
                <w:b w:val="false"/>
                <w:bCs w:val="false"/>
                <w:color w:val="111827"/>
                <w:sz w:val="20"/>
                <w:szCs w:val="20"/>
              </w:rPr>
              <w:t xml:space="preserve">Main Streamlit application (5 pages, ~570 lines)</w:t>
            </w:r>
          </w:p>
        </w:tc>
      </w:tr>
      <w:tr>
        <w:tc>
          <w:tcPr>
            <w:tcW w:type="dxa" w:w="4200"/>
            <w:tcMar>
              <w:top w:type="dxa" w:w="80"/>
              <w:left w:type="dxa" w:w="120"/>
              <w:bottom w:type="dxa" w:w="80"/>
              <w:right w:type="dxa" w:w="120"/>
            </w:tcMar>
            <w:vAlign w:val="center"/>
          </w:tcPr>
          <w:p>
            <w:pPr>
              <w:jc w:val="left"/>
            </w:pPr>
            <w:r>
              <w:rPr>
                <w:b w:val="false"/>
                <w:bCs w:val="false"/>
                <w:color w:val="111827"/>
                <w:sz w:val="20"/>
                <w:szCs w:val="20"/>
              </w:rPr>
              <w:t xml:space="preserve">requirements.txt</w:t>
            </w:r>
          </w:p>
        </w:tc>
        <w:tc>
          <w:tcPr>
            <w:tcW w:type="dxa" w:w="5560"/>
            <w:tcMar>
              <w:top w:type="dxa" w:w="80"/>
              <w:left w:type="dxa" w:w="120"/>
              <w:bottom w:type="dxa" w:w="80"/>
              <w:right w:type="dxa" w:w="120"/>
            </w:tcMar>
            <w:vAlign w:val="center"/>
          </w:tcPr>
          <w:p>
            <w:pPr>
              <w:jc w:val="left"/>
            </w:pPr>
            <w:r>
              <w:rPr>
                <w:b w:val="false"/>
                <w:bCs w:val="false"/>
                <w:color w:val="111827"/>
                <w:sz w:val="20"/>
                <w:szCs w:val="20"/>
              </w:rPr>
              <w:t xml:space="preserve">Pinned Python dependencies</w:t>
            </w:r>
          </w:p>
        </w:tc>
      </w:tr>
      <w:tr>
        <w:tc>
          <w:tcPr>
            <w:tcW w:type="dxa" w:w="4200"/>
            <w:tcMar>
              <w:top w:type="dxa" w:w="80"/>
              <w:left w:type="dxa" w:w="120"/>
              <w:bottom w:type="dxa" w:w="80"/>
              <w:right w:type="dxa" w:w="120"/>
            </w:tcMar>
            <w:vAlign w:val="center"/>
          </w:tcPr>
          <w:p>
            <w:pPr>
              <w:jc w:val="left"/>
            </w:pPr>
            <w:r>
              <w:rPr>
                <w:b w:val="false"/>
                <w:bCs w:val="false"/>
                <w:color w:val="111827"/>
                <w:sz w:val="20"/>
                <w:szCs w:val="20"/>
              </w:rPr>
              <w:t xml:space="preserve">README.md</w:t>
            </w:r>
          </w:p>
        </w:tc>
        <w:tc>
          <w:tcPr>
            <w:tcW w:type="dxa" w:w="5560"/>
            <w:tcMar>
              <w:top w:type="dxa" w:w="80"/>
              <w:left w:type="dxa" w:w="120"/>
              <w:bottom w:type="dxa" w:w="80"/>
              <w:right w:type="dxa" w:w="120"/>
            </w:tcMar>
            <w:vAlign w:val="center"/>
          </w:tcPr>
          <w:p>
            <w:pPr>
              <w:jc w:val="left"/>
            </w:pPr>
            <w:r>
              <w:rPr>
                <w:b w:val="false"/>
                <w:bCs w:val="false"/>
                <w:color w:val="111827"/>
                <w:sz w:val="20"/>
                <w:szCs w:val="20"/>
              </w:rPr>
              <w:t xml:space="preserve">Setup, dataset and model documentation</w:t>
            </w:r>
          </w:p>
        </w:tc>
      </w:tr>
      <w:tr>
        <w:tc>
          <w:tcPr>
            <w:tcW w:type="dxa" w:w="4200"/>
            <w:tcMar>
              <w:top w:type="dxa" w:w="80"/>
              <w:left w:type="dxa" w:w="120"/>
              <w:bottom w:type="dxa" w:w="80"/>
              <w:right w:type="dxa" w:w="120"/>
            </w:tcMar>
            <w:vAlign w:val="center"/>
          </w:tcPr>
          <w:p>
            <w:pPr>
              <w:jc w:val="left"/>
            </w:pPr>
            <w:r>
              <w:rPr>
                <w:b w:val="false"/>
                <w:bCs w:val="false"/>
                <w:color w:val="111827"/>
                <w:sz w:val="20"/>
                <w:szCs w:val="20"/>
              </w:rPr>
              <w:t xml:space="preserve">.streamlit/config.toml</w:t>
            </w:r>
          </w:p>
        </w:tc>
        <w:tc>
          <w:tcPr>
            <w:tcW w:type="dxa" w:w="5560"/>
            <w:tcMar>
              <w:top w:type="dxa" w:w="80"/>
              <w:left w:type="dxa" w:w="120"/>
              <w:bottom w:type="dxa" w:w="80"/>
              <w:right w:type="dxa" w:w="120"/>
            </w:tcMar>
            <w:vAlign w:val="center"/>
          </w:tcPr>
          <w:p>
            <w:pPr>
              <w:jc w:val="left"/>
            </w:pPr>
            <w:r>
              <w:rPr>
                <w:b w:val="false"/>
                <w:bCs w:val="false"/>
                <w:color w:val="111827"/>
                <w:sz w:val="20"/>
                <w:szCs w:val="20"/>
              </w:rPr>
              <w:t xml:space="preserve">Theme and server configuration</w:t>
            </w:r>
          </w:p>
        </w:tc>
      </w:tr>
      <w:tr>
        <w:tc>
          <w:tcPr>
            <w:tcW w:type="dxa" w:w="4200"/>
            <w:tcMar>
              <w:top w:type="dxa" w:w="80"/>
              <w:left w:type="dxa" w:w="120"/>
              <w:bottom w:type="dxa" w:w="80"/>
              <w:right w:type="dxa" w:w="120"/>
            </w:tcMar>
            <w:vAlign w:val="center"/>
          </w:tcPr>
          <w:p>
            <w:pPr>
              <w:jc w:val="left"/>
            </w:pPr>
            <w:r>
              <w:rPr>
                <w:b w:val="false"/>
                <w:bCs w:val="false"/>
                <w:color w:val="111827"/>
                <w:sz w:val="20"/>
                <w:szCs w:val="20"/>
              </w:rPr>
              <w:t xml:space="preserve">data/college_placement_analytics_5000.csv</w:t>
            </w:r>
          </w:p>
        </w:tc>
        <w:tc>
          <w:tcPr>
            <w:tcW w:type="dxa" w:w="5560"/>
            <w:tcMar>
              <w:top w:type="dxa" w:w="80"/>
              <w:left w:type="dxa" w:w="120"/>
              <w:bottom w:type="dxa" w:w="80"/>
              <w:right w:type="dxa" w:w="120"/>
            </w:tcMar>
            <w:vAlign w:val="center"/>
          </w:tcPr>
          <w:p>
            <w:pPr>
              <w:jc w:val="left"/>
            </w:pPr>
            <w:r>
              <w:rPr>
                <w:b w:val="false"/>
                <w:bCs w:val="false"/>
                <w:color w:val="111827"/>
                <w:sz w:val="20"/>
                <w:szCs w:val="20"/>
              </w:rPr>
              <w:t xml:space="preserve">Source dataset</w:t>
            </w:r>
          </w:p>
        </w:tc>
      </w:tr>
      <w:tr>
        <w:tc>
          <w:tcPr>
            <w:tcW w:type="dxa" w:w="4200"/>
            <w:tcMar>
              <w:top w:type="dxa" w:w="80"/>
              <w:left w:type="dxa" w:w="120"/>
              <w:bottom w:type="dxa" w:w="80"/>
              <w:right w:type="dxa" w:w="120"/>
            </w:tcMar>
            <w:vAlign w:val="center"/>
          </w:tcPr>
          <w:p>
            <w:pPr>
              <w:jc w:val="left"/>
            </w:pPr>
            <w:r>
              <w:rPr>
                <w:b w:val="false"/>
                <w:bCs w:val="false"/>
                <w:color w:val="111827"/>
                <w:sz w:val="20"/>
                <w:szCs w:val="20"/>
              </w:rPr>
              <w:t xml:space="preserve">models/placement_model.pkl</w:t>
            </w:r>
          </w:p>
        </w:tc>
        <w:tc>
          <w:tcPr>
            <w:tcW w:type="dxa" w:w="5560"/>
            <w:tcMar>
              <w:top w:type="dxa" w:w="80"/>
              <w:left w:type="dxa" w:w="120"/>
              <w:bottom w:type="dxa" w:w="80"/>
              <w:right w:type="dxa" w:w="120"/>
            </w:tcMar>
            <w:vAlign w:val="center"/>
          </w:tcPr>
          <w:p>
            <w:pPr>
              <w:jc w:val="left"/>
            </w:pPr>
            <w:r>
              <w:rPr>
                <w:b w:val="false"/>
                <w:bCs w:val="false"/>
                <w:color w:val="111827"/>
                <w:sz w:val="20"/>
                <w:szCs w:val="20"/>
              </w:rPr>
              <w:t xml:space="preserve">Trained Random Forest classifier</w:t>
            </w:r>
          </w:p>
        </w:tc>
      </w:tr>
      <w:tr>
        <w:tc>
          <w:tcPr>
            <w:tcW w:type="dxa" w:w="4200"/>
            <w:tcMar>
              <w:top w:type="dxa" w:w="80"/>
              <w:left w:type="dxa" w:w="120"/>
              <w:bottom w:type="dxa" w:w="80"/>
              <w:right w:type="dxa" w:w="120"/>
            </w:tcMar>
            <w:vAlign w:val="center"/>
          </w:tcPr>
          <w:p>
            <w:pPr>
              <w:jc w:val="left"/>
            </w:pPr>
            <w:r>
              <w:rPr>
                <w:b w:val="false"/>
                <w:bCs w:val="false"/>
                <w:color w:val="111827"/>
                <w:sz w:val="20"/>
                <w:szCs w:val="20"/>
              </w:rPr>
              <w:t xml:space="preserve">models/salary_model.pkl</w:t>
            </w:r>
          </w:p>
        </w:tc>
        <w:tc>
          <w:tcPr>
            <w:tcW w:type="dxa" w:w="5560"/>
            <w:tcMar>
              <w:top w:type="dxa" w:w="80"/>
              <w:left w:type="dxa" w:w="120"/>
              <w:bottom w:type="dxa" w:w="80"/>
              <w:right w:type="dxa" w:w="120"/>
            </w:tcMar>
            <w:vAlign w:val="center"/>
          </w:tcPr>
          <w:p>
            <w:pPr>
              <w:jc w:val="left"/>
            </w:pPr>
            <w:r>
              <w:rPr>
                <w:b w:val="false"/>
                <w:bCs w:val="false"/>
                <w:color w:val="111827"/>
                <w:sz w:val="20"/>
                <w:szCs w:val="20"/>
              </w:rPr>
              <w:t xml:space="preserve">Trained Random Forest regressor</w:t>
            </w:r>
          </w:p>
        </w:tc>
      </w:tr>
      <w:tr>
        <w:tc>
          <w:tcPr>
            <w:tcW w:type="dxa" w:w="4200"/>
            <w:tcMar>
              <w:top w:type="dxa" w:w="80"/>
              <w:left w:type="dxa" w:w="120"/>
              <w:bottom w:type="dxa" w:w="80"/>
              <w:right w:type="dxa" w:w="120"/>
            </w:tcMar>
            <w:vAlign w:val="center"/>
          </w:tcPr>
          <w:p>
            <w:pPr>
              <w:jc w:val="left"/>
            </w:pPr>
            <w:r>
              <w:rPr>
                <w:b w:val="false"/>
                <w:bCs w:val="false"/>
                <w:color w:val="111827"/>
                <w:sz w:val="20"/>
                <w:szCs w:val="20"/>
              </w:rPr>
              <w:t xml:space="preserve">notebooks/CampusPulse.ipynb</w:t>
            </w:r>
          </w:p>
        </w:tc>
        <w:tc>
          <w:tcPr>
            <w:tcW w:type="dxa" w:w="5560"/>
            <w:tcMar>
              <w:top w:type="dxa" w:w="80"/>
              <w:left w:type="dxa" w:w="120"/>
              <w:bottom w:type="dxa" w:w="80"/>
              <w:right w:type="dxa" w:w="120"/>
            </w:tcMar>
            <w:vAlign w:val="center"/>
          </w:tcPr>
          <w:p>
            <w:pPr>
              <w:jc w:val="left"/>
            </w:pPr>
            <w:r>
              <w:rPr>
                <w:b w:val="false"/>
                <w:bCs w:val="false"/>
                <w:color w:val="111827"/>
                <w:sz w:val="20"/>
                <w:szCs w:val="20"/>
              </w:rPr>
              <w:t xml:space="preserve">EDA, SQL analysis and model training notebook</w:t>
            </w:r>
          </w:p>
        </w:tc>
      </w:tr>
    </w:tbl>
    <w:p>
      <w:pPr>
        <w:spacing w:after="240" w:before="80"/>
        <w:jc w:val="center"/>
      </w:pPr>
      <w:r>
        <w:rPr>
          <w:i/>
          <w:iCs/>
          <w:color w:val="6B7280"/>
          <w:sz w:val="18"/>
          <w:szCs w:val="18"/>
        </w:rPr>
        <w:t xml:space="preserve">Table 7.1 — Repository layout</w:t>
      </w:r>
    </w:p>
    <w:p>
      <w:pPr>
        <w:pStyle w:val="Heading1"/>
        <w:pBdr>
          <w:bottom w:val="single" w:color="2563EB" w:sz="8" w:space="4"/>
        </w:pBdr>
        <w:spacing w:after="200" w:before="360"/>
      </w:pPr>
      <w:r>
        <w:rPr>
          <w:b/>
          <w:bCs/>
          <w:color w:val="1F2937"/>
          <w:sz w:val="30"/>
          <w:szCs w:val="30"/>
        </w:rPr>
        <w:t xml:space="preserve">8. Features / Modules</w:t>
      </w:r>
    </w:p>
    <w:p>
      <w:pPr>
        <w:pStyle w:val="Heading2"/>
        <w:spacing w:after="140" w:before="280"/>
      </w:pPr>
      <w:r>
        <w:rPr>
          <w:b/>
          <w:bCs/>
          <w:color w:val="2563EB"/>
          <w:sz w:val="24"/>
          <w:szCs w:val="24"/>
        </w:rPr>
        <w:t xml:space="preserve">8.1 Overview Page</w:t>
      </w:r>
    </w:p>
    <w:p>
      <w:pPr>
        <w:spacing w:after="160" w:line="300"/>
        <w:jc w:val="both"/>
      </w:pPr>
      <w:r>
        <w:rPr>
          <w:sz w:val="22"/>
          <w:szCs w:val="22"/>
        </w:rPr>
        <w:t xml:space="preserve">Shows headline KPIs (student count, placement rate, average/median/highest package) and two chart pairs: placement rate by branch and by graduation year, and package distribution alongside average package by branch. Results respond live to the Branch and Graduation Year filters in the sidebar.</w:t>
      </w:r>
    </w:p>
    <w:p>
      <w:pPr>
        <w:pStyle w:val="Heading2"/>
        <w:spacing w:after="140" w:before="280"/>
      </w:pPr>
      <w:r>
        <w:rPr>
          <w:b/>
          <w:bCs/>
          <w:color w:val="2563EB"/>
          <w:sz w:val="24"/>
          <w:szCs w:val="24"/>
        </w:rPr>
        <w:t xml:space="preserve">8.2 Insights Page</w:t>
      </w:r>
    </w:p>
    <w:p>
      <w:pPr>
        <w:spacing w:after="160" w:line="300"/>
        <w:jc w:val="both"/>
      </w:pPr>
      <w:r>
        <w:rPr>
          <w:sz w:val="22"/>
          <w:szCs w:val="22"/>
        </w:rPr>
        <w:t xml:space="preserve">Organised into four tabs that explain what drives placement outcomes:</w:t>
      </w:r>
    </w:p>
    <w:p>
      <w:pPr>
        <w:pStyle w:val="ListParagraph"/>
        <w:numPr>
          <w:ilvl w:val="0"/>
          <w:numId w:val="3"/>
        </w:numPr>
        <w:spacing w:after="90"/>
      </w:pPr>
      <w:r>
        <w:rPr>
          <w:sz w:val="22"/>
          <w:szCs w:val="22"/>
        </w:rPr>
        <w:t xml:space="preserve">Academics &amp; Scores — CGPA distribution by placement status, placement rate by backlog count, and average test scores (DSA, Technical, Aptitude, Communication) for placed vs. not-placed students.</w:t>
      </w:r>
    </w:p>
    <w:p>
      <w:pPr>
        <w:pStyle w:val="ListParagraph"/>
        <w:numPr>
          <w:ilvl w:val="0"/>
          <w:numId w:val="3"/>
        </w:numPr>
        <w:spacing w:after="90"/>
      </w:pPr>
      <w:r>
        <w:rPr>
          <w:sz w:val="22"/>
          <w:szCs w:val="22"/>
        </w:rPr>
        <w:t xml:space="preserve">Experience — placement rate broken down by internship status, number of projects, and number of certifications.</w:t>
      </w:r>
    </w:p>
    <w:p>
      <w:pPr>
        <w:pStyle w:val="ListParagraph"/>
        <w:numPr>
          <w:ilvl w:val="0"/>
          <w:numId w:val="3"/>
        </w:numPr>
        <w:spacing w:after="90"/>
      </w:pPr>
      <w:r>
        <w:rPr>
          <w:sz w:val="22"/>
          <w:szCs w:val="22"/>
        </w:rPr>
        <w:t xml:space="preserve">Skills — the 15 most common student skills and the placement rate associated with each (for skills held by at least 50 students).</w:t>
      </w:r>
    </w:p>
    <w:p>
      <w:pPr>
        <w:pStyle w:val="ListParagraph"/>
        <w:numPr>
          <w:ilvl w:val="0"/>
          <w:numId w:val="3"/>
        </w:numPr>
        <w:spacing w:after="90"/>
      </w:pPr>
      <w:r>
        <w:rPr>
          <w:sz w:val="22"/>
          <w:szCs w:val="22"/>
        </w:rPr>
        <w:t xml:space="preserve">Employers — top recruiting companies, most common job roles, and average package paid per company.</w:t>
      </w:r>
    </w:p>
    <w:p>
      <w:pPr>
        <w:pStyle w:val="Heading2"/>
        <w:spacing w:after="140" w:before="280"/>
      </w:pPr>
      <w:r>
        <w:rPr>
          <w:b/>
          <w:bCs/>
          <w:color w:val="2563EB"/>
          <w:sz w:val="24"/>
          <w:szCs w:val="24"/>
        </w:rPr>
        <w:t xml:space="preserve">8.3 Student Predictor</w:t>
      </w:r>
    </w:p>
    <w:p>
      <w:pPr>
        <w:spacing w:after="160" w:line="300"/>
        <w:jc w:val="both"/>
      </w:pPr>
      <w:r>
        <w:rPr>
          <w:sz w:val="22"/>
          <w:szCs w:val="22"/>
        </w:rPr>
        <w:t xml:space="preserve">A form collects a hypothetical student's academics (CGPA, 10th/12th %, backlogs), experience (internship, projects, certifications, branch) and test scores. On submission it shows:</w:t>
      </w:r>
    </w:p>
    <w:p>
      <w:pPr>
        <w:pStyle w:val="ListParagraph"/>
        <w:numPr>
          <w:ilvl w:val="0"/>
          <w:numId w:val="3"/>
        </w:numPr>
        <w:spacing w:after="90"/>
      </w:pPr>
      <w:r>
        <w:rPr>
          <w:sz w:val="22"/>
          <w:szCs w:val="22"/>
        </w:rPr>
        <w:t xml:space="preserve">A gauge chart with the predicted placement probability, colour-coded (red / amber / green).</w:t>
      </w:r>
    </w:p>
    <w:p>
      <w:pPr>
        <w:pStyle w:val="ListParagraph"/>
        <w:numPr>
          <w:ilvl w:val="0"/>
          <w:numId w:val="3"/>
        </w:numPr>
        <w:spacing w:after="90"/>
      </w:pPr>
      <w:r>
        <w:rPr>
          <w:sz w:val="22"/>
          <w:szCs w:val="22"/>
        </w:rPr>
        <w:t xml:space="preserve">The expected package (in LPA) if placed, with the model's typical error (±0.83 LPA MAE) stated alongside it.</w:t>
      </w:r>
    </w:p>
    <w:p>
      <w:pPr>
        <w:pStyle w:val="ListParagraph"/>
        <w:numPr>
          <w:ilvl w:val="0"/>
          <w:numId w:val="3"/>
        </w:numPr>
        <w:spacing w:after="90"/>
      </w:pPr>
      <w:r>
        <w:rPr>
          <w:sz w:val="22"/>
          <w:szCs w:val="22"/>
        </w:rPr>
        <w:t xml:space="preserve">The selected branch's actual placement rate and average package, for benchmarking.</w:t>
      </w:r>
    </w:p>
    <w:p>
      <w:pPr>
        <w:pStyle w:val="ListParagraph"/>
        <w:numPr>
          <w:ilvl w:val="0"/>
          <w:numId w:val="3"/>
        </w:numPr>
        <w:spacing w:after="90"/>
      </w:pPr>
      <w:r>
        <w:rPr>
          <w:sz w:val="22"/>
          <w:szCs w:val="22"/>
        </w:rPr>
        <w:t xml:space="preserve">A “what-if” ranking that changes one factor at a time (e.g. completing an internship, clearing backlogs, raising a test score by 10 points) and reports the resulting shift in placement probability, sorted by impact.</w:t>
      </w:r>
    </w:p>
    <w:p>
      <w:pPr>
        <w:pStyle w:val="Heading2"/>
        <w:spacing w:after="140" w:before="280"/>
      </w:pPr>
      <w:r>
        <w:rPr>
          <w:b/>
          <w:bCs/>
          <w:color w:val="2563EB"/>
          <w:sz w:val="24"/>
          <w:szCs w:val="24"/>
        </w:rPr>
        <w:t xml:space="preserve">8.4 SQL Explorer</w:t>
      </w:r>
    </w:p>
    <w:p>
      <w:pPr>
        <w:spacing w:after="160" w:line="300"/>
        <w:jc w:val="both"/>
      </w:pPr>
      <w:r>
        <w:rPr>
          <w:sz w:val="22"/>
          <w:szCs w:val="22"/>
        </w:rPr>
        <w:t xml:space="preserve">Lets the user run read-only SELECT (or WITH) queries against the cleaned data through an in-memory SQLite table named students. Seven preset queries are provided (e.g. placement rate by branch, top recruiters, unplaced students with strong scores), the table schema can be inspected, and results can be downloaded as CSV. Any query that is not a SELECT/WITH statement is rejected before execution.</w:t>
      </w:r>
    </w:p>
    <w:p>
      <w:pPr>
        <w:pStyle w:val="Heading2"/>
        <w:spacing w:after="140" w:before="280"/>
      </w:pPr>
      <w:r>
        <w:rPr>
          <w:b/>
          <w:bCs/>
          <w:color w:val="2563EB"/>
          <w:sz w:val="24"/>
          <w:szCs w:val="24"/>
        </w:rPr>
        <w:t xml:space="preserve">8.5 Data &amp; Models</w:t>
      </w:r>
    </w:p>
    <w:p>
      <w:pPr>
        <w:spacing w:after="160" w:line="300"/>
        <w:jc w:val="both"/>
      </w:pPr>
      <w:r>
        <w:rPr>
          <w:sz w:val="22"/>
          <w:szCs w:val="22"/>
        </w:rPr>
        <w:t xml:space="preserve">Displays the two models' evaluation metrics, a feature-importance chart for the placement classifier, a written list of known limitations, and a preview and CSV download of the cleaned dataset.</w:t>
      </w:r>
    </w:p>
    <w:p>
      <w:pPr>
        <w:pStyle w:val="Heading1"/>
        <w:pBdr>
          <w:bottom w:val="single" w:color="2563EB" w:sz="8" w:space="4"/>
        </w:pBdr>
        <w:spacing w:after="200" w:before="360"/>
      </w:pPr>
      <w:r>
        <w:rPr>
          <w:b/>
          <w:bCs/>
          <w:color w:val="1F2937"/>
          <w:sz w:val="30"/>
          <w:szCs w:val="30"/>
        </w:rPr>
        <w:t xml:space="preserve">9. Methodology</w:t>
      </w:r>
    </w:p>
    <w:p>
      <w:pPr>
        <w:spacing w:after="160" w:line="300"/>
        <w:jc w:val="both"/>
      </w:pPr>
      <w:r>
        <w:rPr>
          <w:sz w:val="22"/>
          <w:szCs w:val="22"/>
        </w:rPr>
        <w:t xml:space="preserve">The analytical and modelling workflow, carried out in notebooks/CampusPulse.ipynb and mirrored inside app.py, followed these stages:</w:t>
      </w:r>
    </w:p>
    <w:p>
      <w:pPr>
        <w:pStyle w:val="ListParagraph"/>
        <w:numPr>
          <w:ilvl w:val="0"/>
          <w:numId w:val="2"/>
        </w:numPr>
        <w:spacing w:after="90"/>
      </w:pPr>
      <w:r>
        <w:rPr>
          <w:sz w:val="22"/>
          <w:szCs w:val="22"/>
        </w:rPr>
        <w:t xml:space="preserve">Data loading and inspection — reading the CSV, checking shape, data types and summary statistics.</w:t>
      </w:r>
    </w:p>
    <w:p>
      <w:pPr>
        <w:pStyle w:val="ListParagraph"/>
        <w:numPr>
          <w:ilvl w:val="0"/>
          <w:numId w:val="2"/>
        </w:numPr>
        <w:spacing w:after="90"/>
      </w:pPr>
      <w:r>
        <w:rPr>
          <w:sz w:val="22"/>
          <w:szCs w:val="22"/>
        </w:rPr>
        <w:t xml:space="preserve">Data cleaning — dropping duplicates, imputing missing 10th/12th percentages with the median, and labelling missing skills as “Unknown”.</w:t>
      </w:r>
    </w:p>
    <w:p>
      <w:pPr>
        <w:pStyle w:val="ListParagraph"/>
        <w:numPr>
          <w:ilvl w:val="0"/>
          <w:numId w:val="2"/>
        </w:numPr>
        <w:spacing w:after="90"/>
      </w:pPr>
      <w:r>
        <w:rPr>
          <w:sz w:val="22"/>
          <w:szCs w:val="22"/>
        </w:rPr>
        <w:t xml:space="preserve">Feature engineering — creating Internship_flag and Placed_flag as binary indicators for use in grouping and modelling.</w:t>
      </w:r>
    </w:p>
    <w:p>
      <w:pPr>
        <w:pStyle w:val="ListParagraph"/>
        <w:numPr>
          <w:ilvl w:val="0"/>
          <w:numId w:val="2"/>
        </w:numPr>
        <w:spacing w:after="90"/>
      </w:pPr>
      <w:r>
        <w:rPr>
          <w:sz w:val="22"/>
          <w:szCs w:val="22"/>
        </w:rPr>
        <w:t xml:space="preserve">Exploratory data analysis (EDA) — visualising placement rate by branch, graduation year, backlog count, internship status, project count and certification count; analysing skill frequency and package distribution.</w:t>
      </w:r>
    </w:p>
    <w:p>
      <w:pPr>
        <w:pStyle w:val="ListParagraph"/>
        <w:numPr>
          <w:ilvl w:val="0"/>
          <w:numId w:val="2"/>
        </w:numPr>
        <w:spacing w:after="90"/>
      </w:pPr>
      <w:r>
        <w:rPr>
          <w:sz w:val="22"/>
          <w:szCs w:val="22"/>
        </w:rPr>
        <w:t xml:space="preserve">SQL analysis — loading the cleaned data into SQLite and running exploratory SQL queries, later reused as the SQL Explorer's preset queries.</w:t>
      </w:r>
    </w:p>
    <w:p>
      <w:pPr>
        <w:pStyle w:val="ListParagraph"/>
        <w:numPr>
          <w:ilvl w:val="0"/>
          <w:numId w:val="2"/>
        </w:numPr>
        <w:spacing w:after="90"/>
      </w:pPr>
      <w:r>
        <w:rPr>
          <w:sz w:val="22"/>
          <w:szCs w:val="22"/>
        </w:rPr>
        <w:t xml:space="preserve">Model training (placement) — an 80/20 train-test split; a Logistic Regression baseline (79.9% accuracy) compared against a Random Forest classifier (300 trees, max depth 10) which achieved 79.7% accuracy on the same split.</w:t>
      </w:r>
    </w:p>
    <w:p>
      <w:pPr>
        <w:pStyle w:val="ListParagraph"/>
        <w:numPr>
          <w:ilvl w:val="0"/>
          <w:numId w:val="2"/>
        </w:numPr>
        <w:spacing w:after="90"/>
      </w:pPr>
      <w:r>
        <w:rPr>
          <w:sz w:val="22"/>
          <w:szCs w:val="22"/>
        </w:rPr>
        <w:t xml:space="preserve">Model training (package) — a Random Forest regressor (300 trees, max depth 12) trained on placed students only, achieving an MAE of 0.83 LPA, RMSE of 1.04 LPA, and R² of 0.37.</w:t>
      </w:r>
    </w:p>
    <w:p>
      <w:pPr>
        <w:pStyle w:val="ListParagraph"/>
        <w:numPr>
          <w:ilvl w:val="0"/>
          <w:numId w:val="2"/>
        </w:numPr>
        <w:spacing w:after="90"/>
      </w:pPr>
      <w:r>
        <w:rPr>
          <w:sz w:val="22"/>
          <w:szCs w:val="22"/>
        </w:rPr>
        <w:t xml:space="preserve">Model evaluation — confusion matrix and feature-importance analysis for the classifier; residual/error metrics for the regressor.</w:t>
      </w:r>
    </w:p>
    <w:p>
      <w:pPr>
        <w:pStyle w:val="ListParagraph"/>
        <w:numPr>
          <w:ilvl w:val="0"/>
          <w:numId w:val="2"/>
        </w:numPr>
        <w:spacing w:after="90"/>
      </w:pPr>
      <w:r>
        <w:rPr>
          <w:sz w:val="22"/>
          <w:szCs w:val="22"/>
        </w:rPr>
        <w:t xml:space="preserve">Persistence — both trained models are serialised with joblib to models/placement_model.pkl and models/salary_model.pkl for the Streamlit app to load.</w:t>
      </w:r>
    </w:p>
    <w:p>
      <w:pPr>
        <w:pStyle w:val="Heading2"/>
        <w:spacing w:after="140" w:before="280"/>
      </w:pPr>
      <w:r>
        <w:rPr>
          <w:b/>
          <w:bCs/>
          <w:color w:val="2563EB"/>
          <w:sz w:val="24"/>
          <w:szCs w:val="24"/>
        </w:rPr>
        <w:t xml:space="preserve">9.1 Model Inputs</w:t>
      </w:r>
    </w:p>
    <w:p>
      <w:pPr>
        <w:spacing w:after="160" w:line="300"/>
        <w:jc w:val="both"/>
      </w:pPr>
      <w:r>
        <w:rPr>
          <w:sz w:val="22"/>
          <w:szCs w:val="22"/>
        </w:rPr>
        <w:t xml:space="preserve">Both models use the same 11 features: CGPA, Tenth_Percentage, Twelfth_Percentage, Backlogs, Internship_flag, Projects, Certifications, DSA_Score, Technical_Score, Aptitude_Score and Communication_Score. Branch and Skills are deliberately excluded from the models but are still used throughout the dashboard for benchmarking and filtering.</w:t>
      </w:r>
    </w:p>
    <w:p>
      <w:pPr>
        <w:pStyle w:val="Heading1"/>
        <w:pBdr>
          <w:bottom w:val="single" w:color="2563EB" w:sz="8" w:space="4"/>
        </w:pBdr>
        <w:spacing w:after="200" w:before="360"/>
      </w:pPr>
      <w:r>
        <w:rPr>
          <w:b/>
          <w:bCs/>
          <w:color w:val="1F2937"/>
          <w:sz w:val="30"/>
          <w:szCs w:val="30"/>
        </w:rPr>
        <w:t xml:space="preserve">10. Results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4200"/>
        <w:gridCol w:w="3260"/>
        <w:gridCol w:w="2300"/>
      </w:tblGrid>
      <w:tr>
        <w:trPr>
          <w:tblHeader/>
        </w:trPr>
        <w:tc>
          <w:tcPr>
            <w:tcW w:type="dxa" w:w="4200"/>
            <w:shd w:fill="1F2937" w:val="clear"/>
            <w:tcMar>
              <w:top w:type="dxa" w:w="80"/>
              <w:left w:type="dxa" w:w="120"/>
              <w:bottom w:type="dxa" w:w="80"/>
              <w:right w:type="dxa" w:w="120"/>
            </w:tcMar>
            <w:vAlign w:val="center"/>
          </w:tcPr>
          <w:p>
            <w:pPr>
              <w:jc w:val="left"/>
            </w:pPr>
            <w:r>
              <w:rPr>
                <w:b/>
                <w:bCs/>
                <w:color w:val="FFFFFF"/>
                <w:sz w:val="20"/>
                <w:szCs w:val="20"/>
              </w:rPr>
              <w:t xml:space="preserve">Model</w:t>
            </w:r>
          </w:p>
        </w:tc>
        <w:tc>
          <w:tcPr>
            <w:tcW w:type="dxa" w:w="3260"/>
            <w:shd w:fill="1F2937" w:val="clear"/>
            <w:tcMar>
              <w:top w:type="dxa" w:w="80"/>
              <w:left w:type="dxa" w:w="120"/>
              <w:bottom w:type="dxa" w:w="80"/>
              <w:right w:type="dxa" w:w="120"/>
            </w:tcMar>
            <w:vAlign w:val="center"/>
          </w:tcPr>
          <w:p>
            <w:pPr>
              <w:jc w:val="left"/>
            </w:pPr>
            <w:r>
              <w:rPr>
                <w:b/>
                <w:bCs/>
                <w:color w:val="FFFFFF"/>
                <w:sz w:val="20"/>
                <w:szCs w:val="20"/>
              </w:rPr>
              <w:t xml:space="preserve">Algorithm</w:t>
            </w:r>
          </w:p>
        </w:tc>
        <w:tc>
          <w:tcPr>
            <w:tcW w:type="dxa" w:w="2300"/>
            <w:shd w:fill="1F2937" w:val="clear"/>
            <w:tcMar>
              <w:top w:type="dxa" w:w="80"/>
              <w:left w:type="dxa" w:w="120"/>
              <w:bottom w:type="dxa" w:w="80"/>
              <w:right w:type="dxa" w:w="120"/>
            </w:tcMar>
            <w:vAlign w:val="center"/>
          </w:tcPr>
          <w:p>
            <w:pPr>
              <w:jc w:val="left"/>
            </w:pPr>
            <w:r>
              <w:rPr>
                <w:b/>
                <w:bCs/>
                <w:color w:val="FFFFFF"/>
                <w:sz w:val="20"/>
                <w:szCs w:val="20"/>
              </w:rPr>
              <w:t xml:space="preserve">Result</w:t>
            </w:r>
          </w:p>
        </w:tc>
      </w:tr>
      <w:tr>
        <w:tc>
          <w:tcPr>
            <w:tcW w:type="dxa" w:w="4200"/>
            <w:tcMar>
              <w:top w:type="dxa" w:w="80"/>
              <w:left w:type="dxa" w:w="120"/>
              <w:bottom w:type="dxa" w:w="80"/>
              <w:right w:type="dxa" w:w="120"/>
            </w:tcMar>
            <w:vAlign w:val="center"/>
          </w:tcPr>
          <w:p>
            <w:pPr>
              <w:jc w:val="left"/>
            </w:pPr>
            <w:r>
              <w:rPr>
                <w:b w:val="false"/>
                <w:bCs w:val="false"/>
                <w:color w:val="111827"/>
                <w:sz w:val="20"/>
                <w:szCs w:val="20"/>
              </w:rPr>
              <w:t xml:space="preserve">Placement prediction (classification)</w:t>
            </w:r>
          </w:p>
        </w:tc>
        <w:tc>
          <w:tcPr>
            <w:tcW w:type="dxa" w:w="3260"/>
            <w:tcMar>
              <w:top w:type="dxa" w:w="80"/>
              <w:left w:type="dxa" w:w="120"/>
              <w:bottom w:type="dxa" w:w="80"/>
              <w:right w:type="dxa" w:w="120"/>
            </w:tcMar>
            <w:vAlign w:val="center"/>
          </w:tcPr>
          <w:p>
            <w:pPr>
              <w:jc w:val="left"/>
            </w:pPr>
            <w:r>
              <w:rPr>
                <w:b w:val="false"/>
                <w:bCs w:val="false"/>
                <w:color w:val="111827"/>
                <w:sz w:val="20"/>
                <w:szCs w:val="20"/>
              </w:rPr>
              <w:t xml:space="preserve">Random Forest — 300 trees, max depth 10</w:t>
            </w:r>
          </w:p>
        </w:tc>
        <w:tc>
          <w:tcPr>
            <w:tcW w:type="dxa" w:w="2300"/>
            <w:tcMar>
              <w:top w:type="dxa" w:w="80"/>
              <w:left w:type="dxa" w:w="120"/>
              <w:bottom w:type="dxa" w:w="80"/>
              <w:right w:type="dxa" w:w="120"/>
            </w:tcMar>
            <w:vAlign w:val="center"/>
          </w:tcPr>
          <w:p>
            <w:pPr>
              <w:jc w:val="left"/>
            </w:pPr>
            <w:r>
              <w:rPr>
                <w:b w:val="false"/>
                <w:bCs w:val="false"/>
                <w:color w:val="111827"/>
                <w:sz w:val="20"/>
                <w:szCs w:val="20"/>
              </w:rPr>
              <w:t xml:space="preserve">79.7% test accuracy</w:t>
            </w:r>
          </w:p>
        </w:tc>
      </w:tr>
      <w:tr>
        <w:tc>
          <w:tcPr>
            <w:tcW w:type="dxa" w:w="4200"/>
            <w:tcMar>
              <w:top w:type="dxa" w:w="80"/>
              <w:left w:type="dxa" w:w="120"/>
              <w:bottom w:type="dxa" w:w="80"/>
              <w:right w:type="dxa" w:w="120"/>
            </w:tcMar>
            <w:vAlign w:val="center"/>
          </w:tcPr>
          <w:p>
            <w:pPr>
              <w:jc w:val="left"/>
            </w:pPr>
            <w:r>
              <w:rPr>
                <w:b w:val="false"/>
                <w:bCs w:val="false"/>
                <w:color w:val="111827"/>
                <w:sz w:val="20"/>
                <w:szCs w:val="20"/>
              </w:rPr>
              <w:t xml:space="preserve">Placement prediction (baseline)</w:t>
            </w:r>
          </w:p>
        </w:tc>
        <w:tc>
          <w:tcPr>
            <w:tcW w:type="dxa" w:w="3260"/>
            <w:tcMar>
              <w:top w:type="dxa" w:w="80"/>
              <w:left w:type="dxa" w:w="120"/>
              <w:bottom w:type="dxa" w:w="80"/>
              <w:right w:type="dxa" w:w="120"/>
            </w:tcMar>
            <w:vAlign w:val="center"/>
          </w:tcPr>
          <w:p>
            <w:pPr>
              <w:jc w:val="left"/>
            </w:pPr>
            <w:r>
              <w:rPr>
                <w:b w:val="false"/>
                <w:bCs w:val="false"/>
                <w:color w:val="111827"/>
                <w:sz w:val="20"/>
                <w:szCs w:val="20"/>
              </w:rPr>
              <w:t xml:space="preserve">Logistic Regression</w:t>
            </w:r>
          </w:p>
        </w:tc>
        <w:tc>
          <w:tcPr>
            <w:tcW w:type="dxa" w:w="2300"/>
            <w:tcMar>
              <w:top w:type="dxa" w:w="80"/>
              <w:left w:type="dxa" w:w="120"/>
              <w:bottom w:type="dxa" w:w="80"/>
              <w:right w:type="dxa" w:w="120"/>
            </w:tcMar>
            <w:vAlign w:val="center"/>
          </w:tcPr>
          <w:p>
            <w:pPr>
              <w:jc w:val="left"/>
            </w:pPr>
            <w:r>
              <w:rPr>
                <w:b w:val="false"/>
                <w:bCs w:val="false"/>
                <w:color w:val="111827"/>
                <w:sz w:val="20"/>
                <w:szCs w:val="20"/>
              </w:rPr>
              <w:t xml:space="preserve">79.9% test accuracy</w:t>
            </w:r>
          </w:p>
        </w:tc>
      </w:tr>
      <w:tr>
        <w:tc>
          <w:tcPr>
            <w:tcW w:type="dxa" w:w="4200"/>
            <w:tcMar>
              <w:top w:type="dxa" w:w="80"/>
              <w:left w:type="dxa" w:w="120"/>
              <w:bottom w:type="dxa" w:w="80"/>
              <w:right w:type="dxa" w:w="120"/>
            </w:tcMar>
            <w:vAlign w:val="center"/>
          </w:tcPr>
          <w:p>
            <w:pPr>
              <w:jc w:val="left"/>
            </w:pPr>
            <w:r>
              <w:rPr>
                <w:b w:val="false"/>
                <w:bCs w:val="false"/>
                <w:color w:val="111827"/>
                <w:sz w:val="20"/>
                <w:szCs w:val="20"/>
              </w:rPr>
              <w:t xml:space="preserve">Package prediction (regression, placed students only)</w:t>
            </w:r>
          </w:p>
        </w:tc>
        <w:tc>
          <w:tcPr>
            <w:tcW w:type="dxa" w:w="3260"/>
            <w:tcMar>
              <w:top w:type="dxa" w:w="80"/>
              <w:left w:type="dxa" w:w="120"/>
              <w:bottom w:type="dxa" w:w="80"/>
              <w:right w:type="dxa" w:w="120"/>
            </w:tcMar>
            <w:vAlign w:val="center"/>
          </w:tcPr>
          <w:p>
            <w:pPr>
              <w:jc w:val="left"/>
            </w:pPr>
            <w:r>
              <w:rPr>
                <w:b w:val="false"/>
                <w:bCs w:val="false"/>
                <w:color w:val="111827"/>
                <w:sz w:val="20"/>
                <w:szCs w:val="20"/>
              </w:rPr>
              <w:t xml:space="preserve">Random Forest — 300 trees, max depth 12</w:t>
            </w:r>
          </w:p>
        </w:tc>
        <w:tc>
          <w:tcPr>
            <w:tcW w:type="dxa" w:w="2300"/>
            <w:tcMar>
              <w:top w:type="dxa" w:w="80"/>
              <w:left w:type="dxa" w:w="120"/>
              <w:bottom w:type="dxa" w:w="80"/>
              <w:right w:type="dxa" w:w="120"/>
            </w:tcMar>
            <w:vAlign w:val="center"/>
          </w:tcPr>
          <w:p>
            <w:pPr>
              <w:jc w:val="left"/>
            </w:pPr>
            <w:r>
              <w:rPr>
                <w:b w:val="false"/>
                <w:bCs w:val="false"/>
                <w:color w:val="111827"/>
                <w:sz w:val="20"/>
                <w:szCs w:val="20"/>
              </w:rPr>
              <w:t xml:space="preserve">MAE 0.83 LPA · RMSE 1.04 LPA · R² 0.37</w:t>
            </w:r>
          </w:p>
        </w:tc>
      </w:tr>
    </w:tbl>
    <w:p>
      <w:pPr>
        <w:spacing w:after="240" w:before="80"/>
        <w:jc w:val="center"/>
      </w:pPr>
      <w:r>
        <w:rPr>
          <w:i/>
          <w:iCs/>
          <w:color w:val="6B7280"/>
          <w:sz w:val="18"/>
          <w:szCs w:val="18"/>
        </w:rPr>
        <w:t xml:space="preserve">Table 10.1 — Model performance summary</w:t>
      </w:r>
    </w:p>
    <w:p>
      <w:pPr>
        <w:spacing w:after="160" w:line="300"/>
        <w:jc w:val="both"/>
      </w:pPr>
      <w:r>
        <w:rPr>
          <w:sz w:val="22"/>
          <w:szCs w:val="22"/>
        </w:rPr>
        <w:t xml:space="preserve">The Random Forest classifier performs on par with the simpler Logistic Regression baseline, which suggests the current feature set is close to its ceiling for this task without adding new information such as Branch. The package regressor explains only about 37% of the variance in salary, meaning its output is best treated as an indicative range rather than a precise figure.</w:t>
      </w:r>
    </w:p>
    <w:p>
      <w:pPr>
        <w:pStyle w:val="Heading1"/>
        <w:pBdr>
          <w:bottom w:val="single" w:color="2563EB" w:sz="8" w:space="4"/>
        </w:pBdr>
        <w:spacing w:after="200" w:before="360"/>
      </w:pPr>
      <w:r>
        <w:rPr>
          <w:b/>
          <w:bCs/>
          <w:color w:val="1F2937"/>
          <w:sz w:val="30"/>
          <w:szCs w:val="30"/>
        </w:rPr>
        <w:t xml:space="preserve">11. Limitations</w:t>
      </w:r>
    </w:p>
    <w:p>
      <w:pPr>
        <w:pStyle w:val="ListParagraph"/>
        <w:numPr>
          <w:ilvl w:val="0"/>
          <w:numId w:val="3"/>
        </w:numPr>
        <w:spacing w:after="90"/>
      </w:pPr>
      <w:r>
        <w:rPr>
          <w:sz w:val="22"/>
          <w:szCs w:val="22"/>
        </w:rPr>
        <w:t xml:space="preserve">Branch is not used as a model input, even though it has the single largest effect on placement rate in the data (e.g. CSE ≈ 90% vs. Civil ≈ 36%). This is the most valuable next improvement to the models.</w:t>
      </w:r>
    </w:p>
    <w:p>
      <w:pPr>
        <w:pStyle w:val="ListParagraph"/>
        <w:numPr>
          <w:ilvl w:val="0"/>
          <w:numId w:val="3"/>
        </w:numPr>
        <w:spacing w:after="90"/>
      </w:pPr>
      <w:r>
        <w:rPr>
          <w:sz w:val="22"/>
          <w:szCs w:val="22"/>
        </w:rPr>
        <w:t xml:space="preserve">The salary regression model explains only ~37% of package variation (R² = 0.37); its predictions should be treated as a rough guide, not a guarantee.</w:t>
      </w:r>
    </w:p>
    <w:p>
      <w:pPr>
        <w:pStyle w:val="ListParagraph"/>
        <w:numPr>
          <w:ilvl w:val="0"/>
          <w:numId w:val="3"/>
        </w:numPr>
        <w:spacing w:after="90"/>
      </w:pPr>
      <w:r>
        <w:rPr>
          <w:sz w:val="22"/>
          <w:szCs w:val="22"/>
        </w:rPr>
        <w:t xml:space="preserve">Both models were trained on a single historical dataset and may not generalise to other colleges, years, or hiring conditions.</w:t>
      </w:r>
    </w:p>
    <w:p>
      <w:pPr>
        <w:pStyle w:val="ListParagraph"/>
        <w:numPr>
          <w:ilvl w:val="0"/>
          <w:numId w:val="3"/>
        </w:numPr>
        <w:spacing w:after="90"/>
      </w:pPr>
      <w:r>
        <w:rPr>
          <w:sz w:val="22"/>
          <w:szCs w:val="22"/>
        </w:rPr>
        <w:t xml:space="preserve">Predictions describe statistical patterns observed in the data, not guarantees for any individual student.</w:t>
      </w:r>
    </w:p>
    <w:p>
      <w:pPr>
        <w:pStyle w:val="Heading1"/>
        <w:pBdr>
          <w:bottom w:val="single" w:color="2563EB" w:sz="8" w:space="4"/>
        </w:pBdr>
        <w:spacing w:after="200" w:before="360"/>
      </w:pPr>
      <w:r>
        <w:rPr>
          <w:b/>
          <w:bCs/>
          <w:color w:val="1F2937"/>
          <w:sz w:val="30"/>
          <w:szCs w:val="30"/>
        </w:rPr>
        <w:t xml:space="preserve">12. Future Scope</w:t>
      </w:r>
    </w:p>
    <w:p>
      <w:pPr>
        <w:pStyle w:val="ListParagraph"/>
        <w:numPr>
          <w:ilvl w:val="0"/>
          <w:numId w:val="2"/>
        </w:numPr>
        <w:spacing w:after="90"/>
      </w:pPr>
      <w:r>
        <w:rPr>
          <w:sz w:val="22"/>
          <w:szCs w:val="22"/>
        </w:rPr>
        <w:t xml:space="preserve">Add Branch (and one-hot encoded Skills) as model inputs to capture the largest known driver of placement outcomes.</w:t>
      </w:r>
    </w:p>
    <w:p>
      <w:pPr>
        <w:pStyle w:val="ListParagraph"/>
        <w:numPr>
          <w:ilvl w:val="0"/>
          <w:numId w:val="2"/>
        </w:numPr>
        <w:spacing w:after="90"/>
      </w:pPr>
      <w:r>
        <w:rPr>
          <w:sz w:val="22"/>
          <w:szCs w:val="22"/>
        </w:rPr>
        <w:t xml:space="preserve">Experiment with gradient-boosting algorithms and report cross-validated scores rather than a single train/test split.</w:t>
      </w:r>
    </w:p>
    <w:p>
      <w:pPr>
        <w:pStyle w:val="ListParagraph"/>
        <w:numPr>
          <w:ilvl w:val="0"/>
          <w:numId w:val="2"/>
        </w:numPr>
        <w:spacing w:after="90"/>
      </w:pPr>
      <w:r>
        <w:rPr>
          <w:sz w:val="22"/>
          <w:szCs w:val="22"/>
        </w:rPr>
        <w:t xml:space="preserve">Allow a student to export their prediction and what-if analysis as a downloadable PDF report.</w:t>
      </w:r>
    </w:p>
    <w:p>
      <w:pPr>
        <w:pStyle w:val="ListParagraph"/>
        <w:numPr>
          <w:ilvl w:val="0"/>
          <w:numId w:val="2"/>
        </w:numPr>
        <w:spacing w:after="90"/>
      </w:pPr>
      <w:r>
        <w:rPr>
          <w:sz w:val="22"/>
          <w:szCs w:val="22"/>
        </w:rPr>
        <w:t xml:space="preserve">Add authentication so the dashboard can be used with real, current placement-cell data rather than a static historical dataset.</w:t>
      </w:r>
    </w:p>
    <w:p>
      <w:pPr>
        <w:pStyle w:val="Heading1"/>
        <w:pBdr>
          <w:bottom w:val="single" w:color="2563EB" w:sz="8" w:space="4"/>
        </w:pBdr>
        <w:spacing w:after="200" w:before="360"/>
      </w:pPr>
      <w:r>
        <w:rPr>
          <w:b/>
          <w:bCs/>
          <w:color w:val="1F2937"/>
          <w:sz w:val="30"/>
          <w:szCs w:val="30"/>
        </w:rPr>
        <w:t xml:space="preserve">13. Conclusion</w:t>
      </w:r>
    </w:p>
    <w:p>
      <w:pPr>
        <w:spacing w:after="160" w:line="300"/>
        <w:jc w:val="both"/>
      </w:pPr>
      <w:r>
        <w:rPr>
          <w:sz w:val="22"/>
          <w:szCs w:val="22"/>
        </w:rPr>
        <w:t xml:space="preserve">CampusPulse demonstrates how a static placement dataset can be turned into an interactive analytics and prediction tool using open-source Python libraries. By combining exploratory data analysis, two Random Forest models and a five-page Streamlit dashboard, the project surfaces the factors most associated with placement success (branch, internships, projects, certifications, and low backlog count), gives individual students a probability-based estimate of their own placement chances and expected package, and offers a transparent SQL interface for anyone who wants to look past the built-in charts. The project also documents its own limitations candidly — particularly the exclusion of Branch from the models — which sets a clear, well-scoped direction for future improvement.</w:t>
      </w:r>
    </w:p>
    <w:p>
      <w:pPr>
        <w:pStyle w:val="Heading1"/>
        <w:pBdr>
          <w:bottom w:val="single" w:color="2563EB" w:sz="8" w:space="4"/>
        </w:pBdr>
        <w:spacing w:after="200" w:before="360"/>
      </w:pPr>
      <w:r>
        <w:rPr>
          <w:b/>
          <w:bCs/>
          <w:color w:val="1F2937"/>
          <w:sz w:val="30"/>
          <w:szCs w:val="30"/>
        </w:rPr>
        <w:t xml:space="preserve">14. References</w:t>
      </w:r>
    </w:p>
    <w:p>
      <w:pPr>
        <w:pStyle w:val="ListParagraph"/>
        <w:numPr>
          <w:ilvl w:val="0"/>
          <w:numId w:val="3"/>
        </w:numPr>
        <w:spacing w:after="90"/>
      </w:pPr>
      <w:r>
        <w:rPr>
          <w:sz w:val="22"/>
          <w:szCs w:val="22"/>
        </w:rPr>
        <w:t xml:space="preserve">Streamlit documentation — https://docs.streamlit.io</w:t>
      </w:r>
    </w:p>
    <w:p>
      <w:pPr>
        <w:pStyle w:val="ListParagraph"/>
        <w:numPr>
          <w:ilvl w:val="0"/>
          <w:numId w:val="3"/>
        </w:numPr>
        <w:spacing w:after="90"/>
      </w:pPr>
      <w:r>
        <w:rPr>
          <w:sz w:val="22"/>
          <w:szCs w:val="22"/>
        </w:rPr>
        <w:t xml:space="preserve">scikit-learn documentation — https://scikit-learn.org/stable/documentation.html</w:t>
      </w:r>
    </w:p>
    <w:p>
      <w:pPr>
        <w:pStyle w:val="ListParagraph"/>
        <w:numPr>
          <w:ilvl w:val="0"/>
          <w:numId w:val="3"/>
        </w:numPr>
        <w:spacing w:after="90"/>
      </w:pPr>
      <w:r>
        <w:rPr>
          <w:sz w:val="22"/>
          <w:szCs w:val="22"/>
        </w:rPr>
        <w:t xml:space="preserve">Plotly Python documentation — https://plotly.com/python/</w:t>
      </w:r>
    </w:p>
    <w:p>
      <w:pPr>
        <w:pStyle w:val="ListParagraph"/>
        <w:numPr>
          <w:ilvl w:val="0"/>
          <w:numId w:val="3"/>
        </w:numPr>
        <w:spacing w:after="90"/>
      </w:pPr>
      <w:r>
        <w:rPr>
          <w:sz w:val="22"/>
          <w:szCs w:val="22"/>
        </w:rPr>
        <w:t xml:space="preserve">pandas documentation — https://pandas.pydata.org/docs/</w:t>
      </w:r>
    </w:p>
    <w:p>
      <w:pPr>
        <w:pStyle w:val="ListParagraph"/>
        <w:numPr>
          <w:ilvl w:val="0"/>
          <w:numId w:val="3"/>
        </w:numPr>
        <w:spacing w:after="90"/>
      </w:pPr>
      <w:r>
        <w:rPr>
          <w:sz w:val="22"/>
          <w:szCs w:val="22"/>
        </w:rPr>
        <w:t xml:space="preserve">Project source code and dataset: CampusPulse repository (app.py, notebooks/CampusPulse.ipynb, README.md)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CampusPulse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2026-09-24T13:22:50.761Z</dcterms:created>
  <dcterms:modified xsi:type="dcterms:W3CDTF">2026-09-24T13:22:50.761Z</dcterms:modified>
</cp:coreProperties>
</file>

<file path=docProps/custom.xml><?xml version="1.0" encoding="utf-8"?>
<Properties xmlns="http://schemas.openxmlformats.org/officeDocument/2006/custom-properties" xmlns:vt="http://schemas.openxmlformats.org/officeDocument/2006/docPropsVTypes"/>
</file>