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AI-generated tender evaluation memo</w:t>
      </w:r>
    </w:p>
    <w:p>
      <w:r>
        <w:t xml:space="preserve">INITIAL-01 · Version 0.9 · 2026-09-03 · Evaluation Support Agent · generated_summary</w:t>
      </w:r>
    </w:p>
    <w:p>
      <w:r>
        <w:rPr>
          <w:b w:val="false"/>
          <w:bCs w:val="false"/>
        </w:rPr>
        <w:t xml:space="preserve">INITIAL-01 §1 — Recommendation: select Northstar Metrology's Encabulator NX-48, subject to ordinary approval. The offer meets all seven mandatory requirements and achieves the highest weighted score, 91.8. Its S$348,000 submitted price is S$43,500 below Meridian's S$391,500.</w:t>
      </w:r>
    </w:p>
    <w:p>
      <w:r>
        <w:rPr>
          <w:b w:val="false"/>
          <w:bCs w:val="false"/>
        </w:rPr>
        <w:t xml:space="preserve">INITIAL-01 §2.1 — Northstar's 48-position system meets the per-run minimum, supports CSV/JSON export without a hosted subscription and commits to SAT by 15 January 2027. Its submitted support is confirmed through 31 March 2030 at no additional cost following the vendor's clarification, covering the whole grant period.</w:t>
      </w:r>
    </w:p>
    <w:p>
      <w:pPr>
        <w:pStyle w:val="Heading2"/>
      </w:pPr>
      <w:r>
        <w:t xml:space="preserve">INITIAL-01 T1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Bid</w:t>
            </w:r>
          </w:p>
        </w:tc>
        <w:tc>
          <w:p>
            <w:r>
              <w:t xml:space="preserve">Mandatory result</w:t>
            </w:r>
          </w:p>
        </w:tc>
        <w:tc>
          <w:p>
            <w:r>
              <w:t xml:space="preserve">Weighted score</w:t>
            </w:r>
          </w:p>
        </w:tc>
        <w:tc>
          <w:p>
            <w:r>
              <w:t xml:space="preserve">Disposition</w:t>
            </w:r>
          </w:p>
        </w:tc>
      </w:tr>
      <w:tr>
        <w:tc>
          <w:p>
            <w:r>
              <w:t xml:space="preserve">Northstar</w:t>
            </w:r>
          </w:p>
        </w:tc>
        <w:tc>
          <w:p>
            <w:r>
              <w:t xml:space="preserve">Pass</w:t>
            </w:r>
          </w:p>
        </w:tc>
        <w:tc>
          <w:p>
            <w:r>
              <w:t xml:space="preserve">91.8</w:t>
            </w:r>
          </w:p>
        </w:tc>
        <w:tc>
          <w:p>
            <w:r>
              <w:t xml:space="preserve">Recommended</w:t>
            </w:r>
          </w:p>
        </w:tc>
      </w:tr>
      <w:tr>
        <w:tc>
          <w:p>
            <w:r>
              <w:t xml:space="preserve">Meridian</w:t>
            </w:r>
          </w:p>
        </w:tc>
        <w:tc>
          <w:p>
            <w:r>
              <w:t xml:space="preserve">Pass</w:t>
            </w:r>
          </w:p>
        </w:tc>
        <w:tc>
          <w:p>
            <w:r>
              <w:t xml:space="preserve">86.2</w:t>
            </w:r>
          </w:p>
        </w:tc>
        <w:tc>
          <w:p>
            <w:r>
              <w:t xml:space="preserve">Reserve compliant bid</w:t>
            </w:r>
          </w:p>
        </w:tc>
      </w:tr>
      <w:tr>
        <w:tc>
          <w:p>
            <w:r>
              <w:t xml:space="preserve">Helix</w:t>
            </w:r>
          </w:p>
        </w:tc>
        <w:tc>
          <w:p>
            <w:r>
              <w:t xml:space="preserve">Pass</w:t>
            </w:r>
          </w:p>
        </w:tc>
        <w:tc>
          <w:p>
            <w:r>
              <w:t xml:space="preserve">81.4</w:t>
            </w:r>
          </w:p>
        </w:tc>
        <w:tc>
          <w:p>
            <w:r>
              <w:t xml:space="preserve">Compliant alternative</w:t>
            </w:r>
          </w:p>
        </w:tc>
      </w:tr>
      <w:tr>
        <w:tc>
          <w:p>
            <w:r>
              <w:t xml:space="preserve">Peregrine</w:t>
            </w:r>
          </w:p>
        </w:tc>
        <w:tc>
          <w:p>
            <w:r>
              <w:t xml:space="preserve">Fail M3</w:t>
            </w:r>
          </w:p>
        </w:tc>
        <w:tc>
          <w:p>
            <w:r>
              <w:t xml:space="preserve">Not scored</w:t>
            </w:r>
          </w:p>
        </w:tc>
        <w:tc>
          <w:p>
            <w:r>
              <w:t xml:space="preserve">24 positions per run</w:t>
            </w:r>
          </w:p>
        </w:tc>
      </w:tr>
      <w:tr>
        <w:tc>
          <w:p>
            <w:r>
              <w:t xml:space="preserve">Aperture</w:t>
            </w:r>
          </w:p>
        </w:tc>
        <w:tc>
          <w:p>
            <w:r>
              <w:t xml:space="preserve">Fail M1 and M2</w:t>
            </w:r>
          </w:p>
        </w:tc>
        <w:tc>
          <w:p>
            <w:r>
              <w:t xml:space="preserve">Not scored</w:t>
            </w:r>
          </w:p>
        </w:tc>
        <w:tc>
          <w:p>
            <w:r>
              <w:t xml:space="preserve">S$468,000; SAT 15 March 2027</w:t>
            </w:r>
          </w:p>
        </w:tc>
      </w:tr>
    </w:tbl>
    <w:p>
      <w:r>
        <w:rPr>
          <w:b w:val="false"/>
          <w:bCs w:val="false"/>
        </w:rPr>
        <w:t xml:space="preserve">INITIAL-01 §3 — The workbook's weighted arithmetic is 94×35% + 94×30% + 92×20% + 82×15% = 91.8 for Northstar. The comparison and panel notes support the compliance gate. Proceed to procurement due diligence and committee consideration.</w:t>
      </w:r>
    </w:p>
    <w:p>
      <w:r>
        <w:rPr>
          <w:b w:val="false"/>
          <w:bCs w:val="false"/>
        </w:rPr>
        <w:t xml:space="preserve">INITIAL-01 Sources — Sources: RFQ-02; NST-01–005; EMAIL-02 (thread); EVAL-01–003. Source references are shown at document level in this generated first pass.</w:t>
      </w:r>
    </w:p>
    <w:p>
      <w:pPr>
        <w:pStyle w:val="Heading2"/>
      </w:pPr>
      <w:r>
        <w:rPr>
          <w:b/>
          <w:bCs/>
        </w:rPr>
        <w:t xml:space="preserve">INITIAL-01 §4 Executive rationale</w:t>
      </w:r>
    </w:p>
    <w:p>
      <w:r>
        <w:rPr>
          <w:b w:val="false"/>
          <w:bCs w:val="false"/>
        </w:rPr>
        <w:t xml:space="preserve">INITIAL-01 §4.1 — The NX-48 is presented as a balanced choice: it meets the minimum per-run capacity, provides portable local export and reaches acceptance within the required window. Its submitted total sits comfortably below the equipment ceiling. The analysis treats the service clarification as aligning the coverage period with the funded project and therefore sees no reason to discount the quoted price or capability. On this basis, the panel's technical and cost assessments produce the leading weighted result.</w:t>
      </w:r>
    </w:p>
    <w:p>
      <w:r>
        <w:rPr>
          <w:b w:val="false"/>
          <w:bCs w:val="false"/>
        </w:rPr>
        <w:t xml:space="preserve">INITIAL-01 §4.2 — Meridian offers a slightly larger delivered chamber, a clear acceptance plan and a complete service schedule at a higher submitted price. Helix offers still more capacity and earlier handover, but its price and lifecycle-cost criterion reduce its weighted total. Peregrine's compact unit is excluded for simultaneous capacity, and Aperture's higher-capacity unit is outside the stated price and delivery limits. The comparison therefore retains Northstar, Meridian and Helix for the score view.</w:t>
      </w:r>
    </w:p>
    <w:p>
      <w:pPr>
        <w:pStyle w:val="Heading2"/>
      </w:pPr>
      <w:r>
        <w:rPr>
          <w:b/>
          <w:bCs/>
        </w:rPr>
        <w:t xml:space="preserve">INITIAL-01 §5 Proposed decision path</w:t>
      </w:r>
    </w:p>
    <w:p>
      <w:r>
        <w:rPr>
          <w:b w:val="false"/>
          <w:bCs w:val="false"/>
        </w:rPr>
        <w:t xml:space="preserve">INITIAL-01 §5.1 — Subject to the standard procurement and Finance checks, the Executive Approval Committee is asked to consider Northstar as the preferred supplier. Procurement would confirm that the final contract documents reflect the evaluated offer, while the Principal Investigator verifies the site and acceptance plan. This generated draft is intended for review and cannot itself approve an award. Its source list identifies the documents used in the first pass; the final committee paper should carry clause-level references for the decisive claims.</w:t>
      </w:r>
    </w:p>
    <w:p>
      <w:r>
        <w:rPr>
          <w:b w:val="false"/>
          <w:bCs w:val="false"/>
        </w:rPr>
        <w:t xml:space="preserve">INITIAL-01 §5.2 — The arithmetic difference between Northstar and Meridian's submitted prices is S$43,500 excluding GST. The difference is described as an advantage of the preferred offer within the current comparison. Tax is excluded consistently from the figures shown. Any later optional research accessories or changes would be subject to a separate business decision and are not added to the displayed evaluated totals.</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aption"/>
    </w:pPr>
    <w:r>
      <w:t xml:space="preserve">Fictional training case; all people, organisations, products, rules and events are invented.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tender evaluation memo</dc:title>
  <dc:subject>INITIAL-01</dc:subject>
  <dc:creator>Evaluation Support Agent</dc:creator>
  <dc:description>Fictional training case; all people, organisations, products, rules and events are invented.</dc:description>
  <cp:lastModifiedBy>Un-named</cp:lastModifiedBy>
  <cp:revision>1</cp:revision>
  <dcterms:created xsi:type="dcterms:W3CDTF">2026-09-28T01:48:27.868Z</dcterms:created>
  <dcterms:modified xsi:type="dcterms:W3CDTF">2026-09-28T01:48:27.868Z</dcterms:modified>
</cp:coreProperties>
</file>

<file path=docProps/custom.xml><?xml version="1.0" encoding="utf-8"?>
<Properties xmlns="http://schemas.openxmlformats.org/officeDocument/2006/custom-properties" xmlns:vt="http://schemas.openxmlformats.org/officeDocument/2006/docPropsVTypes"/>
</file>