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01348" w14:textId="5F9A8DAB" w:rsidR="00633B6B" w:rsidRDefault="00633B6B" w:rsidP="000B6419">
      <w:pPr>
        <w:shd w:val="clear" w:color="auto" w:fill="FDFDFC"/>
        <w:spacing w:after="0" w:line="240" w:lineRule="auto"/>
        <w:jc w:val="both"/>
        <w:rPr>
          <w:rFonts w:ascii="Segoe UI" w:eastAsia="Times New Roman" w:hAnsi="Segoe UI" w:cs="Segoe UI"/>
          <w:color w:val="0A0A0A"/>
          <w:sz w:val="21"/>
          <w:szCs w:val="21"/>
          <w:lang w:eastAsia="en-IN" w:bidi="hi-IN"/>
        </w:rPr>
      </w:pPr>
      <w:r w:rsidRPr="00633B6B">
        <w:rPr>
          <w:rFonts w:ascii="Segoe UI" w:eastAsia="Times New Roman" w:hAnsi="Segoe UI" w:cs="Segoe UI"/>
          <w:color w:val="0A0A0A"/>
          <w:sz w:val="21"/>
          <w:szCs w:val="21"/>
          <w:lang w:eastAsia="en-IN" w:bidi="hi-IN"/>
        </w:rPr>
        <w:t>P</w:t>
      </w:r>
      <w:r w:rsidR="000B6419">
        <w:rPr>
          <w:rFonts w:ascii="Segoe UI" w:eastAsia="Times New Roman" w:hAnsi="Segoe UI" w:cs="Segoe UI"/>
          <w:color w:val="0A0A0A"/>
          <w:sz w:val="21"/>
          <w:szCs w:val="21"/>
          <w:lang w:eastAsia="en-IN" w:bidi="hi-IN"/>
        </w:rPr>
        <w:t>I</w:t>
      </w:r>
      <w:r w:rsidRPr="00633B6B">
        <w:rPr>
          <w:rFonts w:ascii="Segoe UI" w:eastAsia="Times New Roman" w:hAnsi="Segoe UI" w:cs="Segoe UI"/>
          <w:color w:val="0A0A0A"/>
          <w:sz w:val="21"/>
          <w:szCs w:val="21"/>
          <w:lang w:eastAsia="en-IN" w:bidi="hi-IN"/>
        </w:rPr>
        <w:t>A Module Inaugural Video Presentation</w:t>
      </w:r>
    </w:p>
    <w:p w14:paraId="12FC416C" w14:textId="77777777" w:rsidR="000B6419" w:rsidRPr="00633B6B" w:rsidRDefault="000B6419" w:rsidP="000B6419">
      <w:pPr>
        <w:shd w:val="clear" w:color="auto" w:fill="FDFDFC"/>
        <w:spacing w:after="0" w:line="240" w:lineRule="auto"/>
        <w:jc w:val="both"/>
        <w:rPr>
          <w:rFonts w:ascii="Segoe UI" w:eastAsia="Times New Roman" w:hAnsi="Segoe UI" w:cs="Segoe UI"/>
          <w:color w:val="0A0A0A"/>
          <w:sz w:val="21"/>
          <w:szCs w:val="21"/>
          <w:lang w:eastAsia="en-IN" w:bidi="hi-IN"/>
        </w:rPr>
      </w:pPr>
    </w:p>
    <w:p w14:paraId="5540A72B" w14:textId="6A4335C8" w:rsidR="00633B6B" w:rsidRPr="00633B6B" w:rsidRDefault="00633B6B" w:rsidP="000B6419">
      <w:pPr>
        <w:numPr>
          <w:ilvl w:val="0"/>
          <w:numId w:val="1"/>
        </w:numPr>
        <w:shd w:val="clear" w:color="auto" w:fill="FDFDFC"/>
        <w:spacing w:after="0" w:line="240" w:lineRule="auto"/>
        <w:jc w:val="both"/>
        <w:rPr>
          <w:rFonts w:ascii="Segoe UI" w:eastAsia="Times New Roman" w:hAnsi="Segoe UI" w:cs="Segoe UI"/>
          <w:color w:val="0A0A0A"/>
          <w:sz w:val="21"/>
          <w:szCs w:val="21"/>
          <w:lang w:eastAsia="en-IN" w:bidi="hi-IN"/>
        </w:rPr>
      </w:pPr>
      <w:r w:rsidRPr="00633B6B">
        <w:rPr>
          <w:rFonts w:ascii="Segoe UI" w:eastAsia="Times New Roman" w:hAnsi="Segoe UI" w:cs="Segoe UI"/>
          <w:color w:val="0A0A0A"/>
          <w:sz w:val="21"/>
          <w:szCs w:val="21"/>
          <w:lang w:eastAsia="en-IN" w:bidi="hi-IN"/>
        </w:rPr>
        <w:t xml:space="preserve">Indian Railways undertakes a large number of capital-intensive infrastructure projects every year, each requiring extensive pre-investment activities before </w:t>
      </w:r>
      <w:r w:rsidR="00400CE5">
        <w:rPr>
          <w:rFonts w:ascii="Segoe UI" w:eastAsia="Times New Roman" w:hAnsi="Segoe UI" w:cs="Segoe UI"/>
          <w:color w:val="0A0A0A"/>
          <w:sz w:val="21"/>
          <w:szCs w:val="21"/>
          <w:lang w:eastAsia="en-IN" w:bidi="hi-IN"/>
        </w:rPr>
        <w:t>sanction of projects</w:t>
      </w:r>
      <w:r w:rsidR="000B1105">
        <w:rPr>
          <w:rFonts w:ascii="Segoe UI" w:eastAsia="Times New Roman" w:hAnsi="Segoe UI" w:cs="Segoe UI"/>
          <w:color w:val="0A0A0A"/>
          <w:sz w:val="21"/>
          <w:szCs w:val="21"/>
          <w:lang w:eastAsia="en-IN" w:bidi="hi-IN"/>
        </w:rPr>
        <w:t xml:space="preserve"> </w:t>
      </w:r>
      <w:r w:rsidR="00416C40">
        <w:rPr>
          <w:rFonts w:ascii="Segoe UI" w:eastAsia="Times New Roman" w:hAnsi="Segoe UI" w:cs="Segoe UI"/>
          <w:color w:val="0A0A0A"/>
          <w:sz w:val="21"/>
          <w:szCs w:val="21"/>
          <w:lang w:eastAsia="en-IN" w:bidi="hi-IN"/>
        </w:rPr>
        <w:t xml:space="preserve">so as </w:t>
      </w:r>
      <w:r w:rsidR="000B1105">
        <w:rPr>
          <w:rFonts w:ascii="Segoe UI" w:eastAsia="Times New Roman" w:hAnsi="Segoe UI" w:cs="Segoe UI"/>
          <w:color w:val="0A0A0A"/>
          <w:sz w:val="21"/>
          <w:szCs w:val="21"/>
          <w:lang w:eastAsia="en-IN" w:bidi="hi-IN"/>
        </w:rPr>
        <w:t xml:space="preserve">to </w:t>
      </w:r>
      <w:r w:rsidR="003205C6">
        <w:rPr>
          <w:rFonts w:ascii="Segoe UI" w:eastAsia="Times New Roman" w:hAnsi="Segoe UI" w:cs="Segoe UI"/>
          <w:color w:val="0A0A0A"/>
          <w:sz w:val="21"/>
          <w:szCs w:val="21"/>
          <w:lang w:eastAsia="en-IN" w:bidi="hi-IN"/>
        </w:rPr>
        <w:t>utilize</w:t>
      </w:r>
      <w:r w:rsidR="000B1105">
        <w:rPr>
          <w:rFonts w:ascii="Segoe UI" w:eastAsia="Times New Roman" w:hAnsi="Segoe UI" w:cs="Segoe UI"/>
          <w:color w:val="0A0A0A"/>
          <w:sz w:val="21"/>
          <w:szCs w:val="21"/>
          <w:lang w:eastAsia="en-IN" w:bidi="hi-IN"/>
        </w:rPr>
        <w:t xml:space="preserve"> </w:t>
      </w:r>
      <w:r w:rsidR="004D40B4">
        <w:rPr>
          <w:rFonts w:ascii="Segoe UI" w:eastAsia="Times New Roman" w:hAnsi="Segoe UI" w:cs="Segoe UI"/>
          <w:color w:val="0A0A0A"/>
          <w:sz w:val="21"/>
          <w:szCs w:val="21"/>
          <w:lang w:eastAsia="en-IN" w:bidi="hi-IN"/>
        </w:rPr>
        <w:t xml:space="preserve">intervening </w:t>
      </w:r>
      <w:r w:rsidR="003205C6">
        <w:rPr>
          <w:rFonts w:ascii="Segoe UI" w:eastAsia="Times New Roman" w:hAnsi="Segoe UI" w:cs="Segoe UI"/>
          <w:color w:val="0A0A0A"/>
          <w:sz w:val="21"/>
          <w:szCs w:val="21"/>
          <w:lang w:eastAsia="en-IN" w:bidi="hi-IN"/>
        </w:rPr>
        <w:t>time</w:t>
      </w:r>
      <w:r w:rsidR="004D40B4">
        <w:rPr>
          <w:rFonts w:ascii="Segoe UI" w:eastAsia="Times New Roman" w:hAnsi="Segoe UI" w:cs="Segoe UI"/>
          <w:color w:val="0A0A0A"/>
          <w:sz w:val="21"/>
          <w:szCs w:val="21"/>
          <w:lang w:eastAsia="en-IN" w:bidi="hi-IN"/>
        </w:rPr>
        <w:t>-period</w:t>
      </w:r>
      <w:r w:rsidR="003205C6">
        <w:rPr>
          <w:rFonts w:ascii="Segoe UI" w:eastAsia="Times New Roman" w:hAnsi="Segoe UI" w:cs="Segoe UI"/>
          <w:color w:val="0A0A0A"/>
          <w:sz w:val="21"/>
          <w:szCs w:val="21"/>
          <w:lang w:eastAsia="en-IN" w:bidi="hi-IN"/>
        </w:rPr>
        <w:t xml:space="preserve"> </w:t>
      </w:r>
      <w:r w:rsidR="004D40B4">
        <w:rPr>
          <w:rFonts w:ascii="Segoe UI" w:eastAsia="Times New Roman" w:hAnsi="Segoe UI" w:cs="Segoe UI"/>
          <w:color w:val="0A0A0A"/>
          <w:sz w:val="21"/>
          <w:szCs w:val="21"/>
          <w:lang w:eastAsia="en-IN" w:bidi="hi-IN"/>
        </w:rPr>
        <w:t>for</w:t>
      </w:r>
      <w:r w:rsidR="00D93D1A">
        <w:rPr>
          <w:rFonts w:ascii="Segoe UI" w:eastAsia="Times New Roman" w:hAnsi="Segoe UI" w:cs="Segoe UI"/>
          <w:color w:val="0A0A0A"/>
          <w:sz w:val="21"/>
          <w:szCs w:val="21"/>
          <w:lang w:eastAsia="en-IN" w:bidi="hi-IN"/>
        </w:rPr>
        <w:t xml:space="preserve"> the</w:t>
      </w:r>
      <w:r w:rsidR="003205C6">
        <w:rPr>
          <w:rFonts w:ascii="Segoe UI" w:eastAsia="Times New Roman" w:hAnsi="Segoe UI" w:cs="Segoe UI"/>
          <w:color w:val="0A0A0A"/>
          <w:sz w:val="21"/>
          <w:szCs w:val="21"/>
          <w:lang w:eastAsia="en-IN" w:bidi="hi-IN"/>
        </w:rPr>
        <w:t xml:space="preserve"> </w:t>
      </w:r>
      <w:r w:rsidR="00D93D1A">
        <w:rPr>
          <w:rFonts w:ascii="Segoe UI" w:eastAsia="Times New Roman" w:hAnsi="Segoe UI" w:cs="Segoe UI"/>
          <w:color w:val="0A0A0A"/>
          <w:sz w:val="21"/>
          <w:szCs w:val="21"/>
          <w:lang w:eastAsia="en-IN" w:bidi="hi-IN"/>
        </w:rPr>
        <w:t>identification &amp; detailing</w:t>
      </w:r>
      <w:r w:rsidR="00D93D1A">
        <w:rPr>
          <w:rFonts w:ascii="Segoe UI" w:eastAsia="Times New Roman" w:hAnsi="Segoe UI" w:cs="Segoe UI"/>
          <w:color w:val="0A0A0A"/>
          <w:sz w:val="21"/>
          <w:szCs w:val="21"/>
          <w:lang w:eastAsia="en-IN" w:bidi="hi-IN"/>
        </w:rPr>
        <w:t xml:space="preserve"> of </w:t>
      </w:r>
      <w:r w:rsidR="00477EB3">
        <w:rPr>
          <w:rFonts w:ascii="Segoe UI" w:eastAsia="Times New Roman" w:hAnsi="Segoe UI" w:cs="Segoe UI"/>
          <w:color w:val="0A0A0A"/>
          <w:sz w:val="21"/>
          <w:szCs w:val="21"/>
          <w:lang w:eastAsia="en-IN" w:bidi="hi-IN"/>
        </w:rPr>
        <w:t>post sanction scope</w:t>
      </w:r>
      <w:r w:rsidR="00144AE4">
        <w:rPr>
          <w:rFonts w:ascii="Segoe UI" w:eastAsia="Times New Roman" w:hAnsi="Segoe UI" w:cs="Segoe UI"/>
          <w:color w:val="0A0A0A"/>
          <w:sz w:val="21"/>
          <w:szCs w:val="21"/>
          <w:lang w:eastAsia="en-IN" w:bidi="hi-IN"/>
        </w:rPr>
        <w:t xml:space="preserve"> of works</w:t>
      </w:r>
      <w:r w:rsidR="00477EB3">
        <w:rPr>
          <w:rFonts w:ascii="Segoe UI" w:eastAsia="Times New Roman" w:hAnsi="Segoe UI" w:cs="Segoe UI"/>
          <w:color w:val="0A0A0A"/>
          <w:sz w:val="21"/>
          <w:szCs w:val="21"/>
          <w:lang w:eastAsia="en-IN" w:bidi="hi-IN"/>
        </w:rPr>
        <w:t>.</w:t>
      </w:r>
    </w:p>
    <w:p w14:paraId="2C59F9C2" w14:textId="77777777" w:rsidR="00633B6B" w:rsidRPr="00633B6B" w:rsidRDefault="00633B6B" w:rsidP="000B6419">
      <w:pPr>
        <w:numPr>
          <w:ilvl w:val="0"/>
          <w:numId w:val="1"/>
        </w:numPr>
        <w:shd w:val="clear" w:color="auto" w:fill="FDFDFC"/>
        <w:spacing w:after="0" w:line="240" w:lineRule="auto"/>
        <w:jc w:val="both"/>
        <w:rPr>
          <w:rFonts w:ascii="Segoe UI" w:eastAsia="Times New Roman" w:hAnsi="Segoe UI" w:cs="Segoe UI"/>
          <w:color w:val="0A0A0A"/>
          <w:sz w:val="21"/>
          <w:szCs w:val="21"/>
          <w:lang w:eastAsia="en-IN" w:bidi="hi-IN"/>
        </w:rPr>
      </w:pPr>
      <w:r w:rsidRPr="00633B6B">
        <w:rPr>
          <w:rFonts w:ascii="Segoe UI" w:eastAsia="Times New Roman" w:hAnsi="Segoe UI" w:cs="Segoe UI"/>
          <w:color w:val="0A0A0A"/>
          <w:sz w:val="21"/>
          <w:szCs w:val="21"/>
          <w:lang w:eastAsia="en-IN" w:bidi="hi-IN"/>
        </w:rPr>
        <w:t>Pre-Investment Activities — including Land Acquisition, Forest Clearance, Utility Shifting, Drawing Approvals, and Tender Packaging — are critical milestones that determine the pace and success of railway project execution.</w:t>
      </w:r>
    </w:p>
    <w:p w14:paraId="12CF58DA" w14:textId="77777777" w:rsidR="00633B6B" w:rsidRPr="00633B6B" w:rsidRDefault="00633B6B" w:rsidP="000B6419">
      <w:pPr>
        <w:numPr>
          <w:ilvl w:val="0"/>
          <w:numId w:val="1"/>
        </w:numPr>
        <w:shd w:val="clear" w:color="auto" w:fill="FDFDFC"/>
        <w:spacing w:after="0" w:line="240" w:lineRule="auto"/>
        <w:jc w:val="both"/>
        <w:rPr>
          <w:rFonts w:ascii="Segoe UI" w:eastAsia="Times New Roman" w:hAnsi="Segoe UI" w:cs="Segoe UI"/>
          <w:color w:val="0A0A0A"/>
          <w:sz w:val="21"/>
          <w:szCs w:val="21"/>
          <w:lang w:eastAsia="en-IN" w:bidi="hi-IN"/>
        </w:rPr>
      </w:pPr>
      <w:r w:rsidRPr="00633B6B">
        <w:rPr>
          <w:rFonts w:ascii="Segoe UI" w:eastAsia="Times New Roman" w:hAnsi="Segoe UI" w:cs="Segoe UI"/>
          <w:color w:val="0A0A0A"/>
          <w:sz w:val="21"/>
          <w:szCs w:val="21"/>
          <w:lang w:eastAsia="en-IN" w:bidi="hi-IN"/>
        </w:rPr>
        <w:t>Traditionally, these activities were tracked through manual, paper-based processes across multiple departments, leading to scattered data, delayed monitoring, and slower decision-making.</w:t>
      </w:r>
    </w:p>
    <w:p w14:paraId="379060B6" w14:textId="6E9E20B1" w:rsidR="00633B6B" w:rsidRPr="00633B6B" w:rsidRDefault="00633B6B" w:rsidP="000B6419">
      <w:pPr>
        <w:numPr>
          <w:ilvl w:val="0"/>
          <w:numId w:val="1"/>
        </w:numPr>
        <w:shd w:val="clear" w:color="auto" w:fill="FDFDFC"/>
        <w:spacing w:after="0" w:line="240" w:lineRule="auto"/>
        <w:jc w:val="both"/>
        <w:rPr>
          <w:rFonts w:ascii="Segoe UI" w:eastAsia="Times New Roman" w:hAnsi="Segoe UI" w:cs="Segoe UI"/>
          <w:color w:val="0A0A0A"/>
          <w:sz w:val="21"/>
          <w:szCs w:val="21"/>
          <w:lang w:eastAsia="en-IN" w:bidi="hi-IN"/>
        </w:rPr>
      </w:pPr>
      <w:r w:rsidRPr="00633B6B">
        <w:rPr>
          <w:rFonts w:ascii="Segoe UI" w:eastAsia="Times New Roman" w:hAnsi="Segoe UI" w:cs="Segoe UI"/>
          <w:color w:val="0A0A0A"/>
          <w:sz w:val="21"/>
          <w:szCs w:val="21"/>
          <w:lang w:eastAsia="en-IN" w:bidi="hi-IN"/>
        </w:rPr>
        <w:t>To address these challenges, Indian Railways has developed the Pre-Investment Activity (P</w:t>
      </w:r>
      <w:r w:rsidR="000B6419">
        <w:rPr>
          <w:rFonts w:ascii="Segoe UI" w:eastAsia="Times New Roman" w:hAnsi="Segoe UI" w:cs="Segoe UI"/>
          <w:color w:val="0A0A0A"/>
          <w:sz w:val="21"/>
          <w:szCs w:val="21"/>
          <w:lang w:eastAsia="en-IN" w:bidi="hi-IN"/>
        </w:rPr>
        <w:t>I</w:t>
      </w:r>
      <w:r w:rsidRPr="00633B6B">
        <w:rPr>
          <w:rFonts w:ascii="Segoe UI" w:eastAsia="Times New Roman" w:hAnsi="Segoe UI" w:cs="Segoe UI"/>
          <w:color w:val="0A0A0A"/>
          <w:sz w:val="21"/>
          <w:szCs w:val="21"/>
          <w:lang w:eastAsia="en-IN" w:bidi="hi-IN"/>
        </w:rPr>
        <w:t>A) Module — a dedicated web-based platform for managing the complete lifecycle of pre-investment activities across all railway zones</w:t>
      </w:r>
      <w:r w:rsidR="004C4276">
        <w:rPr>
          <w:rFonts w:ascii="Segoe UI" w:eastAsia="Times New Roman" w:hAnsi="Segoe UI" w:cs="Segoe UI"/>
          <w:color w:val="0A0A0A"/>
          <w:sz w:val="21"/>
          <w:szCs w:val="21"/>
          <w:lang w:eastAsia="en-IN" w:bidi="hi-IN"/>
        </w:rPr>
        <w:t xml:space="preserve"> on selected projects</w:t>
      </w:r>
      <w:r w:rsidRPr="00633B6B">
        <w:rPr>
          <w:rFonts w:ascii="Segoe UI" w:eastAsia="Times New Roman" w:hAnsi="Segoe UI" w:cs="Segoe UI"/>
          <w:color w:val="0A0A0A"/>
          <w:sz w:val="21"/>
          <w:szCs w:val="21"/>
          <w:lang w:eastAsia="en-IN" w:bidi="hi-IN"/>
        </w:rPr>
        <w:t>.</w:t>
      </w:r>
    </w:p>
    <w:p w14:paraId="38DB04D4" w14:textId="0FD13291" w:rsidR="00633B6B" w:rsidRPr="00633B6B" w:rsidRDefault="00633B6B" w:rsidP="000B6419">
      <w:pPr>
        <w:numPr>
          <w:ilvl w:val="0"/>
          <w:numId w:val="1"/>
        </w:numPr>
        <w:shd w:val="clear" w:color="auto" w:fill="FDFDFC"/>
        <w:spacing w:after="0" w:line="240" w:lineRule="auto"/>
        <w:jc w:val="both"/>
        <w:rPr>
          <w:rFonts w:ascii="Segoe UI" w:eastAsia="Times New Roman" w:hAnsi="Segoe UI" w:cs="Segoe UI"/>
          <w:color w:val="0A0A0A"/>
          <w:sz w:val="21"/>
          <w:szCs w:val="21"/>
          <w:lang w:eastAsia="en-IN" w:bidi="hi-IN"/>
        </w:rPr>
      </w:pPr>
      <w:r w:rsidRPr="00633B6B">
        <w:rPr>
          <w:rFonts w:ascii="Segoe UI" w:eastAsia="Times New Roman" w:hAnsi="Segoe UI" w:cs="Segoe UI"/>
          <w:color w:val="0A0A0A"/>
          <w:sz w:val="21"/>
          <w:szCs w:val="21"/>
          <w:lang w:eastAsia="en-IN" w:bidi="hi-IN"/>
        </w:rPr>
        <w:t xml:space="preserve">The </w:t>
      </w:r>
      <w:r w:rsidR="000B6419" w:rsidRPr="00633B6B">
        <w:rPr>
          <w:rFonts w:ascii="Segoe UI" w:eastAsia="Times New Roman" w:hAnsi="Segoe UI" w:cs="Segoe UI"/>
          <w:color w:val="0A0A0A"/>
          <w:sz w:val="21"/>
          <w:szCs w:val="21"/>
          <w:lang w:eastAsia="en-IN" w:bidi="hi-IN"/>
        </w:rPr>
        <w:t>P</w:t>
      </w:r>
      <w:r w:rsidR="000B6419">
        <w:rPr>
          <w:rFonts w:ascii="Segoe UI" w:eastAsia="Times New Roman" w:hAnsi="Segoe UI" w:cs="Segoe UI"/>
          <w:color w:val="0A0A0A"/>
          <w:sz w:val="21"/>
          <w:szCs w:val="21"/>
          <w:lang w:eastAsia="en-IN" w:bidi="hi-IN"/>
        </w:rPr>
        <w:t>I</w:t>
      </w:r>
      <w:r w:rsidR="000B6419" w:rsidRPr="00633B6B">
        <w:rPr>
          <w:rFonts w:ascii="Segoe UI" w:eastAsia="Times New Roman" w:hAnsi="Segoe UI" w:cs="Segoe UI"/>
          <w:color w:val="0A0A0A"/>
          <w:sz w:val="21"/>
          <w:szCs w:val="21"/>
          <w:lang w:eastAsia="en-IN" w:bidi="hi-IN"/>
        </w:rPr>
        <w:t>A</w:t>
      </w:r>
      <w:r w:rsidRPr="00633B6B">
        <w:rPr>
          <w:rFonts w:ascii="Segoe UI" w:eastAsia="Times New Roman" w:hAnsi="Segoe UI" w:cs="Segoe UI"/>
          <w:color w:val="0A0A0A"/>
          <w:sz w:val="21"/>
          <w:szCs w:val="21"/>
          <w:lang w:eastAsia="en-IN" w:bidi="hi-IN"/>
        </w:rPr>
        <w:t xml:space="preserve"> Module integrates seamlessly with IRPSM through Single Sign-On, enabling users to access the platform directly without separate credentials, and ensuring end-to-end data continuity.</w:t>
      </w:r>
    </w:p>
    <w:p w14:paraId="45550345" w14:textId="77777777" w:rsidR="00633B6B" w:rsidRPr="00633B6B" w:rsidRDefault="00633B6B" w:rsidP="000B6419">
      <w:pPr>
        <w:numPr>
          <w:ilvl w:val="0"/>
          <w:numId w:val="1"/>
        </w:numPr>
        <w:shd w:val="clear" w:color="auto" w:fill="FDFDFC"/>
        <w:spacing w:after="0" w:line="240" w:lineRule="auto"/>
        <w:jc w:val="both"/>
        <w:rPr>
          <w:rFonts w:ascii="Segoe UI" w:eastAsia="Times New Roman" w:hAnsi="Segoe UI" w:cs="Segoe UI"/>
          <w:color w:val="0A0A0A"/>
          <w:sz w:val="21"/>
          <w:szCs w:val="21"/>
          <w:lang w:eastAsia="en-IN" w:bidi="hi-IN"/>
        </w:rPr>
      </w:pPr>
      <w:r w:rsidRPr="00633B6B">
        <w:rPr>
          <w:rFonts w:ascii="Segoe UI" w:eastAsia="Times New Roman" w:hAnsi="Segoe UI" w:cs="Segoe UI"/>
          <w:color w:val="0A0A0A"/>
          <w:sz w:val="21"/>
          <w:szCs w:val="21"/>
          <w:lang w:eastAsia="en-IN" w:bidi="hi-IN"/>
        </w:rPr>
        <w:t>The module supports a structured, multi-level workflow — from project seeding by Railway Board, activity updates by Dy. CE and CE officers at the zonal level, to monitoring by CAO and Railway Board authorities.</w:t>
      </w:r>
    </w:p>
    <w:p w14:paraId="696B4821" w14:textId="77777777" w:rsidR="00633B6B" w:rsidRPr="00633B6B" w:rsidRDefault="00633B6B" w:rsidP="000B6419">
      <w:pPr>
        <w:numPr>
          <w:ilvl w:val="0"/>
          <w:numId w:val="1"/>
        </w:numPr>
        <w:shd w:val="clear" w:color="auto" w:fill="FDFDFC"/>
        <w:spacing w:after="0" w:line="240" w:lineRule="auto"/>
        <w:jc w:val="both"/>
        <w:rPr>
          <w:rFonts w:ascii="Segoe UI" w:eastAsia="Times New Roman" w:hAnsi="Segoe UI" w:cs="Segoe UI"/>
          <w:color w:val="0A0A0A"/>
          <w:sz w:val="21"/>
          <w:szCs w:val="21"/>
          <w:lang w:eastAsia="en-IN" w:bidi="hi-IN"/>
        </w:rPr>
      </w:pPr>
      <w:r w:rsidRPr="00633B6B">
        <w:rPr>
          <w:rFonts w:ascii="Segoe UI" w:eastAsia="Times New Roman" w:hAnsi="Segoe UI" w:cs="Segoe UI"/>
          <w:color w:val="0A0A0A"/>
          <w:sz w:val="21"/>
          <w:szCs w:val="21"/>
          <w:lang w:eastAsia="en-IN" w:bidi="hi-IN"/>
        </w:rPr>
        <w:t>Role-based access control ensures that each stakeholder — Railway Board, CAO, CE, Dy. CE, and Nodal officers — has clearly defined responsibilities and visibility appropriate to their level.</w:t>
      </w:r>
    </w:p>
    <w:p w14:paraId="53BB0090" w14:textId="77777777" w:rsidR="00633B6B" w:rsidRPr="00633B6B" w:rsidRDefault="00633B6B" w:rsidP="000B6419">
      <w:pPr>
        <w:numPr>
          <w:ilvl w:val="0"/>
          <w:numId w:val="1"/>
        </w:numPr>
        <w:shd w:val="clear" w:color="auto" w:fill="FDFDFC"/>
        <w:spacing w:after="0" w:line="240" w:lineRule="auto"/>
        <w:jc w:val="both"/>
        <w:rPr>
          <w:rFonts w:ascii="Segoe UI" w:eastAsia="Times New Roman" w:hAnsi="Segoe UI" w:cs="Segoe UI"/>
          <w:color w:val="0A0A0A"/>
          <w:sz w:val="21"/>
          <w:szCs w:val="21"/>
          <w:lang w:eastAsia="en-IN" w:bidi="hi-IN"/>
        </w:rPr>
      </w:pPr>
      <w:r w:rsidRPr="00633B6B">
        <w:rPr>
          <w:rFonts w:ascii="Segoe UI" w:eastAsia="Times New Roman" w:hAnsi="Segoe UI" w:cs="Segoe UI"/>
          <w:color w:val="0A0A0A"/>
          <w:sz w:val="21"/>
          <w:szCs w:val="21"/>
          <w:lang w:eastAsia="en-IN" w:bidi="hi-IN"/>
        </w:rPr>
        <w:t>Comprehensive dashboards and MIS reports provide real-time visibility into activity-wise progress, pending approvals, delayed projects, and zone-wise performance, enabling faster and better-informed decisions.</w:t>
      </w:r>
    </w:p>
    <w:p w14:paraId="481187B4" w14:textId="09238E09" w:rsidR="00633B6B" w:rsidRPr="00633B6B" w:rsidRDefault="00633B6B" w:rsidP="000B6419">
      <w:pPr>
        <w:numPr>
          <w:ilvl w:val="0"/>
          <w:numId w:val="1"/>
        </w:numPr>
        <w:shd w:val="clear" w:color="auto" w:fill="FDFDFC"/>
        <w:spacing w:after="0" w:line="240" w:lineRule="auto"/>
        <w:jc w:val="both"/>
        <w:rPr>
          <w:rFonts w:ascii="Segoe UI" w:eastAsia="Times New Roman" w:hAnsi="Segoe UI" w:cs="Segoe UI"/>
          <w:color w:val="0A0A0A"/>
          <w:sz w:val="21"/>
          <w:szCs w:val="21"/>
          <w:lang w:eastAsia="en-IN" w:bidi="hi-IN"/>
        </w:rPr>
      </w:pPr>
      <w:r w:rsidRPr="00633B6B">
        <w:rPr>
          <w:rFonts w:ascii="Segoe UI" w:eastAsia="Times New Roman" w:hAnsi="Segoe UI" w:cs="Segoe UI"/>
          <w:color w:val="0A0A0A"/>
          <w:sz w:val="21"/>
          <w:szCs w:val="21"/>
          <w:lang w:eastAsia="en-IN" w:bidi="hi-IN"/>
        </w:rPr>
        <w:t>The P</w:t>
      </w:r>
      <w:r w:rsidR="00935385">
        <w:rPr>
          <w:rFonts w:ascii="Segoe UI" w:eastAsia="Times New Roman" w:hAnsi="Segoe UI" w:cs="Segoe UI"/>
          <w:color w:val="0A0A0A"/>
          <w:sz w:val="21"/>
          <w:szCs w:val="21"/>
          <w:lang w:eastAsia="en-IN" w:bidi="hi-IN"/>
        </w:rPr>
        <w:t>I</w:t>
      </w:r>
      <w:r w:rsidRPr="00633B6B">
        <w:rPr>
          <w:rFonts w:ascii="Segoe UI" w:eastAsia="Times New Roman" w:hAnsi="Segoe UI" w:cs="Segoe UI"/>
          <w:color w:val="0A0A0A"/>
          <w:sz w:val="21"/>
          <w:szCs w:val="21"/>
          <w:lang w:eastAsia="en-IN" w:bidi="hi-IN"/>
        </w:rPr>
        <w:t>A Module supports document uploads, milestone tracking, delay alerts, and audit trails — bringing accountability and transparency to every stage of the pre-investment process.</w:t>
      </w:r>
    </w:p>
    <w:p w14:paraId="638FD3BD" w14:textId="64D4BF29" w:rsidR="00633B6B" w:rsidRPr="00633B6B" w:rsidRDefault="00633B6B" w:rsidP="000B6419">
      <w:pPr>
        <w:numPr>
          <w:ilvl w:val="0"/>
          <w:numId w:val="1"/>
        </w:numPr>
        <w:shd w:val="clear" w:color="auto" w:fill="FDFDFC"/>
        <w:spacing w:after="0" w:line="240" w:lineRule="auto"/>
        <w:jc w:val="both"/>
        <w:rPr>
          <w:rFonts w:ascii="Segoe UI" w:eastAsia="Times New Roman" w:hAnsi="Segoe UI" w:cs="Segoe UI"/>
          <w:color w:val="0A0A0A"/>
          <w:sz w:val="21"/>
          <w:szCs w:val="21"/>
          <w:lang w:eastAsia="en-IN" w:bidi="hi-IN"/>
        </w:rPr>
      </w:pPr>
      <w:r w:rsidRPr="00633B6B">
        <w:rPr>
          <w:rFonts w:ascii="Segoe UI" w:eastAsia="Times New Roman" w:hAnsi="Segoe UI" w:cs="Segoe UI"/>
          <w:color w:val="0A0A0A"/>
          <w:sz w:val="21"/>
          <w:szCs w:val="21"/>
          <w:lang w:eastAsia="en-IN" w:bidi="hi-IN"/>
        </w:rPr>
        <w:t>The P</w:t>
      </w:r>
      <w:r w:rsidR="00935385">
        <w:rPr>
          <w:rFonts w:ascii="Segoe UI" w:eastAsia="Times New Roman" w:hAnsi="Segoe UI" w:cs="Segoe UI"/>
          <w:color w:val="0A0A0A"/>
          <w:sz w:val="21"/>
          <w:szCs w:val="21"/>
          <w:lang w:eastAsia="en-IN" w:bidi="hi-IN"/>
        </w:rPr>
        <w:t>I</w:t>
      </w:r>
      <w:r w:rsidRPr="00633B6B">
        <w:rPr>
          <w:rFonts w:ascii="Segoe UI" w:eastAsia="Times New Roman" w:hAnsi="Segoe UI" w:cs="Segoe UI"/>
          <w:color w:val="0A0A0A"/>
          <w:sz w:val="21"/>
          <w:szCs w:val="21"/>
          <w:lang w:eastAsia="en-IN" w:bidi="hi-IN"/>
        </w:rPr>
        <w:t xml:space="preserve">A Module establishes a centralized digital platform for pre-investment activity management across Indian Railways, </w:t>
      </w:r>
      <w:r>
        <w:rPr>
          <w:rFonts w:ascii="Segoe UI" w:eastAsia="Times New Roman" w:hAnsi="Segoe UI" w:cs="Segoe UI"/>
          <w:color w:val="0A0A0A"/>
          <w:sz w:val="21"/>
          <w:szCs w:val="21"/>
          <w:lang w:eastAsia="en-IN" w:bidi="hi-IN"/>
        </w:rPr>
        <w:t>improving execution speed</w:t>
      </w:r>
      <w:r w:rsidRPr="00633B6B">
        <w:rPr>
          <w:rFonts w:ascii="Segoe UI" w:eastAsia="Times New Roman" w:hAnsi="Segoe UI" w:cs="Segoe UI"/>
          <w:color w:val="0A0A0A"/>
          <w:sz w:val="21"/>
          <w:szCs w:val="21"/>
          <w:lang w:eastAsia="en-IN" w:bidi="hi-IN"/>
        </w:rPr>
        <w:t>, improving coordination between Railway Board and Zonal Railways, and laying a stronger foundation for timely project execution.</w:t>
      </w:r>
    </w:p>
    <w:p w14:paraId="790EDEB8" w14:textId="77777777" w:rsidR="00061A89" w:rsidRDefault="00061A89" w:rsidP="000B6419">
      <w:pPr>
        <w:jc w:val="both"/>
      </w:pPr>
    </w:p>
    <w:sectPr w:rsidR="00061A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C2E4D"/>
    <w:multiLevelType w:val="multilevel"/>
    <w:tmpl w:val="0E10F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2307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B6B"/>
    <w:rsid w:val="00061A89"/>
    <w:rsid w:val="000B1105"/>
    <w:rsid w:val="000B6419"/>
    <w:rsid w:val="00144AE4"/>
    <w:rsid w:val="001D13A0"/>
    <w:rsid w:val="001D5F03"/>
    <w:rsid w:val="002F220A"/>
    <w:rsid w:val="003139A2"/>
    <w:rsid w:val="003205C6"/>
    <w:rsid w:val="00400CE5"/>
    <w:rsid w:val="00416C40"/>
    <w:rsid w:val="00477EB3"/>
    <w:rsid w:val="004C4276"/>
    <w:rsid w:val="004D40B4"/>
    <w:rsid w:val="00606EBE"/>
    <w:rsid w:val="00633B6B"/>
    <w:rsid w:val="00935385"/>
    <w:rsid w:val="00D93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4E42E"/>
  <w15:chartTrackingRefBased/>
  <w15:docId w15:val="{D3E16A03-DEA9-43C6-9B8B-380AA7719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33B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633B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89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335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Ashvini Meshram</dc:creator>
  <cp:keywords/>
  <dc:description/>
  <cp:lastModifiedBy>Rajesh Kumar</cp:lastModifiedBy>
  <cp:revision>16</cp:revision>
  <dcterms:created xsi:type="dcterms:W3CDTF">2026-07-03T13:41:00Z</dcterms:created>
  <dcterms:modified xsi:type="dcterms:W3CDTF">2026-07-03T13:51:00Z</dcterms:modified>
</cp:coreProperties>
</file>