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B42FC" w14:textId="77777777" w:rsidR="00E5734D" w:rsidRPr="00E5734D" w:rsidRDefault="00E5734D" w:rsidP="00E5734D">
      <w:pPr>
        <w:rPr>
          <w:vanish/>
        </w:rPr>
      </w:pPr>
      <w:r w:rsidRPr="00E5734D">
        <w:rPr>
          <w:vanish/>
        </w:rPr>
        <w:t>Top of Form</w:t>
      </w:r>
    </w:p>
    <w:p w14:paraId="2185AC25" w14:textId="77777777" w:rsidR="00E5734D" w:rsidRPr="00E5734D" w:rsidRDefault="00E5734D" w:rsidP="00E5734D">
      <w:r w:rsidRPr="00E5734D">
        <w:t>FAQs about the ATPC Application</w:t>
      </w:r>
    </w:p>
    <w:p w14:paraId="2029BED1" w14:textId="77777777" w:rsidR="00E5734D" w:rsidRPr="00E5734D" w:rsidRDefault="00E5734D" w:rsidP="00E5734D">
      <w:r w:rsidRPr="00E5734D">
        <w:t>What is ATPC and what is its primary function?</w:t>
      </w:r>
    </w:p>
    <w:p w14:paraId="7C8A1451" w14:textId="77777777" w:rsidR="00E5734D" w:rsidRPr="00E5734D" w:rsidRDefault="00E5734D" w:rsidP="00E5734D">
      <w:r w:rsidRPr="00E5734D">
        <w:t>ATPC stands for "Assessment of Third-Party Compliance" and is a core application within Citi's ICRM (Independent Compliance Risk Management) system. Its primary function is to facilitate the assessment and ongoing monitoring of third-party compliance, particularly when Citi outsources processes. It acts as a workflow-driven system where users fill out questionnaires, and the assessments progress through various stages of review and approval, ultimately being saved in a database. ATPC aims to ensure that third parties adhere to necessary compliance controls.</w:t>
      </w:r>
    </w:p>
    <w:p w14:paraId="583A50B3" w14:textId="77777777" w:rsidR="00E5734D" w:rsidRPr="00E5734D" w:rsidRDefault="00E5734D" w:rsidP="00E5734D">
      <w:r w:rsidRPr="00E5734D">
        <w:t>How does the ATPC application integrate with external systems for data input?</w:t>
      </w:r>
    </w:p>
    <w:p w14:paraId="5036C4CF" w14:textId="77777777" w:rsidR="00E5734D" w:rsidRPr="00E5734D" w:rsidRDefault="00E5734D" w:rsidP="00E5734D">
      <w:r w:rsidRPr="00E5734D">
        <w:t>ATPC integrates with several upstream systems to receive the necessary data for creating assessments:</w:t>
      </w:r>
    </w:p>
    <w:p w14:paraId="6029149C" w14:textId="77777777" w:rsidR="00E5734D" w:rsidRPr="00E5734D" w:rsidRDefault="00E5734D" w:rsidP="00E5734D">
      <w:pPr>
        <w:numPr>
          <w:ilvl w:val="0"/>
          <w:numId w:val="1"/>
        </w:numPr>
      </w:pPr>
      <w:r w:rsidRPr="00E5734D">
        <w:rPr>
          <w:b/>
          <w:bCs/>
        </w:rPr>
        <w:t>Aravo:</w:t>
      </w:r>
      <w:r w:rsidRPr="00E5734D">
        <w:t xml:space="preserve"> This is a key SAS application where third-party relationships are onboarded. Aravo sends notifications to ATPC when a relationship is created, providing initial relationship and control data. Citi uses an internal "wrapper" or integration layer to consume data from the external Aravo SAS.</w:t>
      </w:r>
    </w:p>
    <w:p w14:paraId="23089597" w14:textId="77777777" w:rsidR="00E5734D" w:rsidRPr="00E5734D" w:rsidRDefault="00E5734D" w:rsidP="00E5734D">
      <w:pPr>
        <w:numPr>
          <w:ilvl w:val="0"/>
          <w:numId w:val="1"/>
        </w:numPr>
      </w:pPr>
      <w:r w:rsidRPr="00E5734D">
        <w:rPr>
          <w:b/>
          <w:bCs/>
        </w:rPr>
        <w:t>MCA Data Proxy:</w:t>
      </w:r>
      <w:r w:rsidRPr="00E5734D">
        <w:t xml:space="preserve"> Instead of directly connecting to MCA (Management Control Assessment) and REG (Regulatory) Management, ATPC receives T-1 data (historical data) from the MCA Data Proxy. This proxy application collects and stores data from both MCA and REG Management in Elastic Search.</w:t>
      </w:r>
    </w:p>
    <w:p w14:paraId="1B5F916F" w14:textId="77777777" w:rsidR="00E5734D" w:rsidRPr="00E5734D" w:rsidRDefault="00E5734D" w:rsidP="00E5734D">
      <w:pPr>
        <w:numPr>
          <w:ilvl w:val="0"/>
          <w:numId w:val="1"/>
        </w:numPr>
      </w:pPr>
      <w:r w:rsidRPr="00E5734D">
        <w:rPr>
          <w:b/>
          <w:bCs/>
        </w:rPr>
        <w:t>Reference Data (within ICRM):</w:t>
      </w:r>
      <w:r w:rsidRPr="00E5734D">
        <w:t xml:space="preserve"> ATPC consumes user data and other reference information from a common reference data service within the ICRM ecosystem.</w:t>
      </w:r>
    </w:p>
    <w:p w14:paraId="3C5AFF0E" w14:textId="77777777" w:rsidR="00E5734D" w:rsidRPr="00E5734D" w:rsidRDefault="00E5734D" w:rsidP="00E5734D">
      <w:r w:rsidRPr="00E5734D">
        <w:t>What is the workflow within ATPC once an assessment is created?</w:t>
      </w:r>
    </w:p>
    <w:p w14:paraId="09F78A9D" w14:textId="77777777" w:rsidR="00E5734D" w:rsidRPr="00E5734D" w:rsidRDefault="00E5734D" w:rsidP="00E5734D">
      <w:r w:rsidRPr="00E5734D">
        <w:t>Once an assessment is created in ATPC using data from Aravo and other sources, it initiates a multi-step workflow:</w:t>
      </w:r>
    </w:p>
    <w:p w14:paraId="788D6A4B" w14:textId="77777777" w:rsidR="00E5734D" w:rsidRPr="00E5734D" w:rsidRDefault="00E5734D" w:rsidP="00E5734D">
      <w:pPr>
        <w:numPr>
          <w:ilvl w:val="0"/>
          <w:numId w:val="2"/>
        </w:numPr>
      </w:pPr>
      <w:r w:rsidRPr="00E5734D">
        <w:rPr>
          <w:b/>
          <w:bCs/>
        </w:rPr>
        <w:t>Business Submission User:</w:t>
      </w:r>
      <w:r w:rsidRPr="00E5734D">
        <w:t xml:space="preserve"> The initial business user logs in, answers all the questions in the questionnaire, and submits it.</w:t>
      </w:r>
    </w:p>
    <w:p w14:paraId="6433C777" w14:textId="77777777" w:rsidR="00E5734D" w:rsidRPr="00E5734D" w:rsidRDefault="00E5734D" w:rsidP="00E5734D">
      <w:pPr>
        <w:numPr>
          <w:ilvl w:val="0"/>
          <w:numId w:val="2"/>
        </w:numPr>
      </w:pPr>
      <w:r w:rsidRPr="00E5734D">
        <w:rPr>
          <w:b/>
          <w:bCs/>
        </w:rPr>
        <w:t>Supervisor Attestation:</w:t>
      </w:r>
      <w:r w:rsidRPr="00E5734D">
        <w:t xml:space="preserve"> The assessment then goes to their supervisor, who attests to the submitted information.</w:t>
      </w:r>
    </w:p>
    <w:p w14:paraId="317802C3" w14:textId="77777777" w:rsidR="00E5734D" w:rsidRPr="00E5734D" w:rsidRDefault="00E5734D" w:rsidP="00E5734D">
      <w:pPr>
        <w:numPr>
          <w:ilvl w:val="0"/>
          <w:numId w:val="2"/>
        </w:numPr>
      </w:pPr>
      <w:r w:rsidRPr="00E5734D">
        <w:rPr>
          <w:b/>
          <w:bCs/>
        </w:rPr>
        <w:t>Third-Party Risk Officer (TPRO):</w:t>
      </w:r>
      <w:r w:rsidRPr="00E5734D">
        <w:t xml:space="preserve"> The assessment moves to a TPRO, who validates the information.</w:t>
      </w:r>
    </w:p>
    <w:p w14:paraId="640EC735" w14:textId="77777777" w:rsidR="00E5734D" w:rsidRPr="00E5734D" w:rsidRDefault="00E5734D" w:rsidP="00E5734D">
      <w:pPr>
        <w:numPr>
          <w:ilvl w:val="0"/>
          <w:numId w:val="2"/>
        </w:numPr>
      </w:pPr>
      <w:r w:rsidRPr="00E5734D">
        <w:rPr>
          <w:b/>
          <w:bCs/>
        </w:rPr>
        <w:lastRenderedPageBreak/>
        <w:t>PFICRM User (ICRM User):</w:t>
      </w:r>
      <w:r w:rsidRPr="00E5734D">
        <w:t xml:space="preserve"> Finally, ICRM users review everything, add comments, and the assessment reaches a "completed" status. This workflow ensures multiple layers of review and validation for third-party compliance.</w:t>
      </w:r>
    </w:p>
    <w:p w14:paraId="25FD2A53" w14:textId="77777777" w:rsidR="00E5734D" w:rsidRPr="00E5734D" w:rsidRDefault="00E5734D" w:rsidP="00E5734D">
      <w:r w:rsidRPr="00E5734D">
        <w:t>How does ATPC handle document storage and issue tracking?</w:t>
      </w:r>
    </w:p>
    <w:p w14:paraId="7C4D8578" w14:textId="77777777" w:rsidR="00E5734D" w:rsidRPr="00E5734D" w:rsidRDefault="00E5734D" w:rsidP="00E5734D">
      <w:r w:rsidRPr="00E5734D">
        <w:t>ATPC leverages specific external services for these functionalities:</w:t>
      </w:r>
    </w:p>
    <w:p w14:paraId="45064C32" w14:textId="77777777" w:rsidR="00E5734D" w:rsidRPr="00E5734D" w:rsidRDefault="00E5734D" w:rsidP="00E5734D">
      <w:pPr>
        <w:numPr>
          <w:ilvl w:val="0"/>
          <w:numId w:val="3"/>
        </w:numPr>
      </w:pPr>
      <w:r w:rsidRPr="00E5734D">
        <w:rPr>
          <w:b/>
          <w:bCs/>
        </w:rPr>
        <w:t>IDocs:</w:t>
      </w:r>
      <w:r w:rsidRPr="00E5734D">
        <w:t xml:space="preserve"> When users upload documents as part of the questionnaire, these documents are stored in IDocs, which acts as a document drive for ATPC. ATPC references these stored documents.</w:t>
      </w:r>
    </w:p>
    <w:p w14:paraId="1DA600E5" w14:textId="77777777" w:rsidR="00E5734D" w:rsidRPr="00E5734D" w:rsidRDefault="00E5734D" w:rsidP="00E5734D">
      <w:pPr>
        <w:numPr>
          <w:ilvl w:val="0"/>
          <w:numId w:val="3"/>
        </w:numPr>
      </w:pPr>
      <w:r w:rsidRPr="00E5734D">
        <w:rPr>
          <w:b/>
          <w:bCs/>
        </w:rPr>
        <w:t>IAPS:</w:t>
      </w:r>
      <w:r w:rsidRPr="00E5734D">
        <w:t xml:space="preserve"> ATPC integrates with IAPS (Issues and Action Plans System) to display existing issues to users within the questionnaire. Additionally, users can create new issues directly from the ATPC application, which are then integrated into IAPS.</w:t>
      </w:r>
    </w:p>
    <w:p w14:paraId="047D05CC" w14:textId="77777777" w:rsidR="00E5734D" w:rsidRPr="00E5734D" w:rsidRDefault="00E5734D" w:rsidP="00E5734D">
      <w:r w:rsidRPr="00E5734D">
        <w:t>What are the current downstream interactions or outputs of ATPC?</w:t>
      </w:r>
    </w:p>
    <w:p w14:paraId="4B5403DA" w14:textId="77777777" w:rsidR="00E5734D" w:rsidRPr="00E5734D" w:rsidRDefault="00E5734D" w:rsidP="00E5734D">
      <w:r w:rsidRPr="00E5734D">
        <w:t>Currently, ATPC has limited direct downstream integrations for the detailed assessment data. The main output is:</w:t>
      </w:r>
    </w:p>
    <w:p w14:paraId="7124AA7E" w14:textId="77777777" w:rsidR="00E5734D" w:rsidRPr="00E5734D" w:rsidRDefault="00E5734D" w:rsidP="00E5734D">
      <w:pPr>
        <w:numPr>
          <w:ilvl w:val="0"/>
          <w:numId w:val="4"/>
        </w:numPr>
      </w:pPr>
      <w:r w:rsidRPr="00E5734D">
        <w:rPr>
          <w:b/>
          <w:bCs/>
        </w:rPr>
        <w:t>Aravo (Status Updates):</w:t>
      </w:r>
      <w:r w:rsidRPr="00E5734D">
        <w:t xml:space="preserve"> ATPC sends status updates, SLA information, and details about any adverse events back to Aravo as the workflow progresses and completes. However, the comprehensive questionnaire answers and control details remain within ATPC, which serves as the source of truth for this information.</w:t>
      </w:r>
    </w:p>
    <w:p w14:paraId="26AD9DFC" w14:textId="77777777" w:rsidR="00E5734D" w:rsidRPr="00E5734D" w:rsidRDefault="00E5734D" w:rsidP="00E5734D">
      <w:r w:rsidRPr="00E5734D">
        <w:t>While there are future plans to integrate ATPC information with MCA or REG Management to link third parties with specific controls, this is not yet implemented. Users currently manually relate controls to third parties in MCA.</w:t>
      </w:r>
    </w:p>
    <w:p w14:paraId="6D9289E9" w14:textId="77777777" w:rsidR="00E5734D" w:rsidRPr="00E5734D" w:rsidRDefault="00E5734D" w:rsidP="00E5734D">
      <w:r w:rsidRPr="00E5734D">
        <w:t>How does ATPC manage the relevance of data over time, given that external data sources can change?</w:t>
      </w:r>
    </w:p>
    <w:p w14:paraId="29C1A6C8" w14:textId="77777777" w:rsidR="00E5734D" w:rsidRPr="00E5734D" w:rsidRDefault="00E5734D" w:rsidP="00E5734D">
      <w:r w:rsidRPr="00E5734D">
        <w:t>ATPC handles the potential for changes in external data by treating each assessment as a "point in time snapshot."</w:t>
      </w:r>
    </w:p>
    <w:p w14:paraId="0528194E" w14:textId="77777777" w:rsidR="00E5734D" w:rsidRPr="00E5734D" w:rsidRDefault="00E5734D" w:rsidP="00E5734D">
      <w:pPr>
        <w:numPr>
          <w:ilvl w:val="0"/>
          <w:numId w:val="5"/>
        </w:numPr>
      </w:pPr>
      <w:r w:rsidRPr="00E5734D">
        <w:rPr>
          <w:b/>
          <w:bCs/>
        </w:rPr>
        <w:t>Due Diligence (DD):</w:t>
      </w:r>
      <w:r w:rsidRPr="00E5734D">
        <w:t xml:space="preserve"> The initial assessment is called "Due Diligence" and is based on the data relevant at that specific time.</w:t>
      </w:r>
    </w:p>
    <w:p w14:paraId="6E5F8639" w14:textId="77777777" w:rsidR="00E5734D" w:rsidRPr="00E5734D" w:rsidRDefault="00E5734D" w:rsidP="00E5734D">
      <w:pPr>
        <w:numPr>
          <w:ilvl w:val="0"/>
          <w:numId w:val="5"/>
        </w:numPr>
      </w:pPr>
      <w:r w:rsidRPr="00E5734D">
        <w:rPr>
          <w:b/>
          <w:bCs/>
        </w:rPr>
        <w:t>Ongoing Monitoring (OGM):</w:t>
      </w:r>
      <w:r w:rsidRPr="00E5734D">
        <w:t xml:space="preserve"> To account for changes, third parties undergo an annual review called "Ongoing Monitoring." During OGM, if there are any changes in data from sources like MCA (e.g., new controls), these will be reflected in the new OGM review for the same third party. This ensures that compliance is regularly re-</w:t>
      </w:r>
      <w:r w:rsidRPr="00E5734D">
        <w:lastRenderedPageBreak/>
        <w:t>evaluated against current conditions, even if the initial assessment data becomes outdated.</w:t>
      </w:r>
    </w:p>
    <w:p w14:paraId="61AD1E15" w14:textId="77777777" w:rsidR="00E5734D" w:rsidRPr="00E5734D" w:rsidRDefault="00E5734D" w:rsidP="00E5734D">
      <w:r w:rsidRPr="00E5734D">
        <w:t>What are the internal components of the ATPC application?</w:t>
      </w:r>
    </w:p>
    <w:p w14:paraId="496802B1" w14:textId="77777777" w:rsidR="00E5734D" w:rsidRPr="00E5734D" w:rsidRDefault="00E5734D" w:rsidP="00E5734D">
      <w:r w:rsidRPr="00E5734D">
        <w:t>The ATPC application itself is composed of three main internal components:</w:t>
      </w:r>
    </w:p>
    <w:p w14:paraId="363C0BD4" w14:textId="77777777" w:rsidR="00E5734D" w:rsidRPr="00E5734D" w:rsidRDefault="00E5734D" w:rsidP="00E5734D">
      <w:pPr>
        <w:numPr>
          <w:ilvl w:val="0"/>
          <w:numId w:val="6"/>
        </w:numPr>
      </w:pPr>
      <w:r w:rsidRPr="00E5734D">
        <w:rPr>
          <w:b/>
          <w:bCs/>
        </w:rPr>
        <w:t>Backend Component:</w:t>
      </w:r>
      <w:r w:rsidRPr="00E5734D">
        <w:t xml:space="preserve"> Handles the core logic, data processing, and interactions with databases and other services.</w:t>
      </w:r>
    </w:p>
    <w:p w14:paraId="389EA174" w14:textId="77777777" w:rsidR="00E5734D" w:rsidRPr="00E5734D" w:rsidRDefault="00E5734D" w:rsidP="00E5734D">
      <w:pPr>
        <w:numPr>
          <w:ilvl w:val="0"/>
          <w:numId w:val="6"/>
        </w:numPr>
      </w:pPr>
      <w:r w:rsidRPr="00E5734D">
        <w:rPr>
          <w:b/>
          <w:bCs/>
        </w:rPr>
        <w:t>Frontend Component:</w:t>
      </w:r>
      <w:r w:rsidRPr="00E5734D">
        <w:t xml:space="preserve"> Provides the user interface (UI) for users to log in, access tasks, fill out questionnaires, and manage assessments. This UI is part of the newer CRC (Citi Risk and Compliance) application.</w:t>
      </w:r>
    </w:p>
    <w:p w14:paraId="38A4A606" w14:textId="77777777" w:rsidR="00E5734D" w:rsidRPr="00E5734D" w:rsidRDefault="00E5734D" w:rsidP="00E5734D">
      <w:pPr>
        <w:numPr>
          <w:ilvl w:val="0"/>
          <w:numId w:val="6"/>
        </w:numPr>
      </w:pPr>
      <w:r w:rsidRPr="00E5734D">
        <w:rPr>
          <w:b/>
          <w:bCs/>
        </w:rPr>
        <w:t>Batch Component:</w:t>
      </w:r>
      <w:r w:rsidRPr="00E5734D">
        <w:t xml:space="preserve"> Manages batch processes, such as sending out emails and notifications related to assessments.</w:t>
      </w:r>
    </w:p>
    <w:p w14:paraId="1F820794" w14:textId="77777777" w:rsidR="00E5734D" w:rsidRPr="00E5734D" w:rsidRDefault="00E5734D" w:rsidP="00E5734D">
      <w:r w:rsidRPr="00E5734D">
        <w:t>Where is ATPC deployed and what are some of its other utility integrations?</w:t>
      </w:r>
    </w:p>
    <w:p w14:paraId="5A69729C" w14:textId="77777777" w:rsidR="00E5734D" w:rsidRPr="00E5734D" w:rsidRDefault="00E5734D" w:rsidP="00E5734D">
      <w:r w:rsidRPr="00E5734D">
        <w:t xml:space="preserve">ATPC is deployed on an </w:t>
      </w:r>
      <w:r w:rsidRPr="00E5734D">
        <w:rPr>
          <w:b/>
          <w:bCs/>
        </w:rPr>
        <w:t>OpenShift ECS cluster</w:t>
      </w:r>
      <w:r w:rsidRPr="00E5734D">
        <w:t>. In addition to the previously mentioned systems, ATPC also integrates with:</w:t>
      </w:r>
    </w:p>
    <w:p w14:paraId="1A5EAD35" w14:textId="77777777" w:rsidR="00E5734D" w:rsidRPr="00E5734D" w:rsidRDefault="00E5734D" w:rsidP="00E5734D">
      <w:pPr>
        <w:numPr>
          <w:ilvl w:val="0"/>
          <w:numId w:val="7"/>
        </w:numPr>
      </w:pPr>
      <w:r w:rsidRPr="00E5734D">
        <w:rPr>
          <w:b/>
          <w:bCs/>
        </w:rPr>
        <w:t>EMS (Entitlement Management System):</w:t>
      </w:r>
      <w:r w:rsidRPr="00E5734D">
        <w:t xml:space="preserve"> For managing user entitlements and permissions within the application.</w:t>
      </w:r>
    </w:p>
    <w:p w14:paraId="3D277843" w14:textId="77777777" w:rsidR="00E5734D" w:rsidRPr="00E5734D" w:rsidRDefault="00E5734D" w:rsidP="00E5734D">
      <w:pPr>
        <w:numPr>
          <w:ilvl w:val="0"/>
          <w:numId w:val="7"/>
        </w:numPr>
      </w:pPr>
      <w:r w:rsidRPr="00E5734D">
        <w:rPr>
          <w:b/>
          <w:bCs/>
        </w:rPr>
        <w:t>Notification/Email Service:</w:t>
      </w:r>
      <w:r w:rsidRPr="00E5734D">
        <w:t xml:space="preserve"> A common internal service used by ATPC to send out emails and notifications to users as part of the assessment workflow.</w:t>
      </w:r>
    </w:p>
    <w:p w14:paraId="2E3D6A0C" w14:textId="77777777" w:rsidR="00E5734D" w:rsidRPr="00E5734D" w:rsidRDefault="00E5734D" w:rsidP="00E5734D">
      <w:pPr>
        <w:rPr>
          <w:vanish/>
        </w:rPr>
      </w:pPr>
      <w:r w:rsidRPr="00E5734D">
        <w:rPr>
          <w:vanish/>
        </w:rPr>
        <w:t>Bottom of Form</w:t>
      </w:r>
    </w:p>
    <w:p w14:paraId="5D67D20C" w14:textId="77777777" w:rsidR="00235708" w:rsidRDefault="00235708"/>
    <w:sectPr w:rsidR="0023570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151EC"/>
    <w:multiLevelType w:val="multilevel"/>
    <w:tmpl w:val="16AA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51337"/>
    <w:multiLevelType w:val="multilevel"/>
    <w:tmpl w:val="D5C8D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1039E7"/>
    <w:multiLevelType w:val="multilevel"/>
    <w:tmpl w:val="42B4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817AC1"/>
    <w:multiLevelType w:val="multilevel"/>
    <w:tmpl w:val="23E2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A4431E"/>
    <w:multiLevelType w:val="multilevel"/>
    <w:tmpl w:val="5170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7E1081"/>
    <w:multiLevelType w:val="multilevel"/>
    <w:tmpl w:val="C362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306FE7"/>
    <w:multiLevelType w:val="multilevel"/>
    <w:tmpl w:val="A35A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272026">
    <w:abstractNumId w:val="2"/>
  </w:num>
  <w:num w:numId="2" w16cid:durableId="208418957">
    <w:abstractNumId w:val="1"/>
  </w:num>
  <w:num w:numId="3" w16cid:durableId="944965765">
    <w:abstractNumId w:val="3"/>
  </w:num>
  <w:num w:numId="4" w16cid:durableId="1567455973">
    <w:abstractNumId w:val="0"/>
  </w:num>
  <w:num w:numId="5" w16cid:durableId="1695691347">
    <w:abstractNumId w:val="6"/>
  </w:num>
  <w:num w:numId="6" w16cid:durableId="1607499623">
    <w:abstractNumId w:val="4"/>
  </w:num>
  <w:num w:numId="7" w16cid:durableId="17819966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695"/>
    <w:rsid w:val="000D6159"/>
    <w:rsid w:val="00235708"/>
    <w:rsid w:val="007F4E3C"/>
    <w:rsid w:val="00A97FC7"/>
    <w:rsid w:val="00CD7B87"/>
    <w:rsid w:val="00E5734D"/>
    <w:rsid w:val="00F1469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0FFF27-5F95-4A8F-B593-C09AA78D8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6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46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46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46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46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46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6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6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6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A97FC7"/>
    <w:pPr>
      <w:spacing w:before="360" w:after="440" w:line="240" w:lineRule="auto"/>
      <w:contextualSpacing/>
    </w:pPr>
    <w:rPr>
      <w:rFonts w:asciiTheme="majorHAnsi" w:eastAsiaTheme="majorEastAsia" w:hAnsiTheme="majorHAnsi" w:cstheme="majorBidi"/>
      <w:color w:val="C00000"/>
      <w:spacing w:val="-10"/>
      <w:kern w:val="28"/>
      <w:sz w:val="56"/>
      <w:szCs w:val="56"/>
    </w:rPr>
  </w:style>
  <w:style w:type="character" w:customStyle="1" w:styleId="TitleChar">
    <w:name w:val="Title Char"/>
    <w:basedOn w:val="DefaultParagraphFont"/>
    <w:link w:val="Title"/>
    <w:uiPriority w:val="10"/>
    <w:rsid w:val="00A97FC7"/>
    <w:rPr>
      <w:rFonts w:asciiTheme="majorHAnsi" w:eastAsiaTheme="majorEastAsia" w:hAnsiTheme="majorHAnsi" w:cstheme="majorBidi"/>
      <w:color w:val="C00000"/>
      <w:spacing w:val="-10"/>
      <w:kern w:val="28"/>
      <w:sz w:val="56"/>
      <w:szCs w:val="56"/>
    </w:rPr>
  </w:style>
  <w:style w:type="paragraph" w:styleId="Subtitle">
    <w:name w:val="Subtitle"/>
    <w:basedOn w:val="Normal"/>
    <w:next w:val="Normal"/>
    <w:link w:val="SubtitleChar"/>
    <w:autoRedefine/>
    <w:uiPriority w:val="11"/>
    <w:qFormat/>
    <w:rsid w:val="00A97FC7"/>
    <w:pPr>
      <w:numPr>
        <w:ilvl w:val="1"/>
      </w:numPr>
      <w:spacing w:before="360" w:after="280"/>
    </w:pPr>
    <w:rPr>
      <w:rFonts w:eastAsiaTheme="majorEastAsia" w:cstheme="majorBidi"/>
      <w:b/>
      <w:color w:val="77206D" w:themeColor="accent5" w:themeShade="BF"/>
      <w:spacing w:val="15"/>
      <w:sz w:val="32"/>
      <w:szCs w:val="28"/>
    </w:rPr>
  </w:style>
  <w:style w:type="character" w:customStyle="1" w:styleId="SubtitleChar">
    <w:name w:val="Subtitle Char"/>
    <w:basedOn w:val="DefaultParagraphFont"/>
    <w:link w:val="Subtitle"/>
    <w:uiPriority w:val="11"/>
    <w:rsid w:val="00A97FC7"/>
    <w:rPr>
      <w:rFonts w:eastAsiaTheme="majorEastAsia" w:cstheme="majorBidi"/>
      <w:b/>
      <w:color w:val="77206D" w:themeColor="accent5" w:themeShade="BF"/>
      <w:spacing w:val="15"/>
      <w:sz w:val="32"/>
      <w:szCs w:val="28"/>
    </w:rPr>
  </w:style>
  <w:style w:type="character" w:customStyle="1" w:styleId="Heading1Char">
    <w:name w:val="Heading 1 Char"/>
    <w:basedOn w:val="DefaultParagraphFont"/>
    <w:link w:val="Heading1"/>
    <w:uiPriority w:val="9"/>
    <w:rsid w:val="00F146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46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46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46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46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46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6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6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695"/>
    <w:rPr>
      <w:rFonts w:eastAsiaTheme="majorEastAsia" w:cstheme="majorBidi"/>
      <w:color w:val="272727" w:themeColor="text1" w:themeTint="D8"/>
    </w:rPr>
  </w:style>
  <w:style w:type="paragraph" w:styleId="Quote">
    <w:name w:val="Quote"/>
    <w:basedOn w:val="Normal"/>
    <w:next w:val="Normal"/>
    <w:link w:val="QuoteChar"/>
    <w:uiPriority w:val="29"/>
    <w:qFormat/>
    <w:rsid w:val="00F14695"/>
    <w:pPr>
      <w:spacing w:before="160"/>
      <w:jc w:val="center"/>
    </w:pPr>
    <w:rPr>
      <w:i/>
      <w:iCs/>
      <w:color w:val="404040" w:themeColor="text1" w:themeTint="BF"/>
    </w:rPr>
  </w:style>
  <w:style w:type="character" w:customStyle="1" w:styleId="QuoteChar">
    <w:name w:val="Quote Char"/>
    <w:basedOn w:val="DefaultParagraphFont"/>
    <w:link w:val="Quote"/>
    <w:uiPriority w:val="29"/>
    <w:rsid w:val="00F14695"/>
    <w:rPr>
      <w:i/>
      <w:iCs/>
      <w:color w:val="404040" w:themeColor="text1" w:themeTint="BF"/>
    </w:rPr>
  </w:style>
  <w:style w:type="paragraph" w:styleId="ListParagraph">
    <w:name w:val="List Paragraph"/>
    <w:basedOn w:val="Normal"/>
    <w:uiPriority w:val="34"/>
    <w:qFormat/>
    <w:rsid w:val="00F14695"/>
    <w:pPr>
      <w:ind w:left="720"/>
      <w:contextualSpacing/>
    </w:pPr>
  </w:style>
  <w:style w:type="character" w:styleId="IntenseEmphasis">
    <w:name w:val="Intense Emphasis"/>
    <w:basedOn w:val="DefaultParagraphFont"/>
    <w:uiPriority w:val="21"/>
    <w:qFormat/>
    <w:rsid w:val="00F14695"/>
    <w:rPr>
      <w:i/>
      <w:iCs/>
      <w:color w:val="0F4761" w:themeColor="accent1" w:themeShade="BF"/>
    </w:rPr>
  </w:style>
  <w:style w:type="paragraph" w:styleId="IntenseQuote">
    <w:name w:val="Intense Quote"/>
    <w:basedOn w:val="Normal"/>
    <w:next w:val="Normal"/>
    <w:link w:val="IntenseQuoteChar"/>
    <w:uiPriority w:val="30"/>
    <w:qFormat/>
    <w:rsid w:val="00F146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695"/>
    <w:rPr>
      <w:i/>
      <w:iCs/>
      <w:color w:val="0F4761" w:themeColor="accent1" w:themeShade="BF"/>
    </w:rPr>
  </w:style>
  <w:style w:type="character" w:styleId="IntenseReference">
    <w:name w:val="Intense Reference"/>
    <w:basedOn w:val="DefaultParagraphFont"/>
    <w:uiPriority w:val="32"/>
    <w:qFormat/>
    <w:rsid w:val="00F146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228320">
      <w:bodyDiv w:val="1"/>
      <w:marLeft w:val="0"/>
      <w:marRight w:val="0"/>
      <w:marTop w:val="0"/>
      <w:marBottom w:val="0"/>
      <w:divBdr>
        <w:top w:val="none" w:sz="0" w:space="0" w:color="auto"/>
        <w:left w:val="none" w:sz="0" w:space="0" w:color="auto"/>
        <w:bottom w:val="none" w:sz="0" w:space="0" w:color="auto"/>
        <w:right w:val="none" w:sz="0" w:space="0" w:color="auto"/>
      </w:divBdr>
      <w:divsChild>
        <w:div w:id="448665362">
          <w:marLeft w:val="0"/>
          <w:marRight w:val="0"/>
          <w:marTop w:val="0"/>
          <w:marBottom w:val="0"/>
          <w:divBdr>
            <w:top w:val="none" w:sz="0" w:space="0" w:color="auto"/>
            <w:left w:val="none" w:sz="0" w:space="0" w:color="auto"/>
            <w:bottom w:val="none" w:sz="0" w:space="0" w:color="auto"/>
            <w:right w:val="none" w:sz="0" w:space="0" w:color="auto"/>
          </w:divBdr>
          <w:divsChild>
            <w:div w:id="1145320018">
              <w:marLeft w:val="0"/>
              <w:marRight w:val="0"/>
              <w:marTop w:val="0"/>
              <w:marBottom w:val="0"/>
              <w:divBdr>
                <w:top w:val="none" w:sz="0" w:space="0" w:color="auto"/>
                <w:left w:val="none" w:sz="0" w:space="0" w:color="auto"/>
                <w:bottom w:val="none" w:sz="0" w:space="0" w:color="auto"/>
                <w:right w:val="none" w:sz="0" w:space="0" w:color="auto"/>
              </w:divBdr>
              <w:divsChild>
                <w:div w:id="1945308766">
                  <w:marLeft w:val="0"/>
                  <w:marRight w:val="0"/>
                  <w:marTop w:val="0"/>
                  <w:marBottom w:val="0"/>
                  <w:divBdr>
                    <w:top w:val="single" w:sz="4" w:space="0" w:color="37383B"/>
                    <w:left w:val="none" w:sz="0" w:space="0" w:color="auto"/>
                    <w:bottom w:val="none" w:sz="0" w:space="0" w:color="auto"/>
                    <w:right w:val="none" w:sz="0" w:space="0" w:color="auto"/>
                  </w:divBdr>
                  <w:divsChild>
                    <w:div w:id="1532299848">
                      <w:marLeft w:val="0"/>
                      <w:marRight w:val="0"/>
                      <w:marTop w:val="0"/>
                      <w:marBottom w:val="0"/>
                      <w:divBdr>
                        <w:top w:val="single" w:sz="4" w:space="0" w:color="37383B"/>
                        <w:left w:val="single" w:sz="6" w:space="0" w:color="CCCCCC"/>
                        <w:bottom w:val="single" w:sz="6" w:space="0" w:color="CCCCCC"/>
                        <w:right w:val="single" w:sz="6" w:space="0" w:color="CCCCCC"/>
                      </w:divBdr>
                      <w:divsChild>
                        <w:div w:id="142745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892650">
      <w:bodyDiv w:val="1"/>
      <w:marLeft w:val="0"/>
      <w:marRight w:val="0"/>
      <w:marTop w:val="0"/>
      <w:marBottom w:val="0"/>
      <w:divBdr>
        <w:top w:val="none" w:sz="0" w:space="0" w:color="auto"/>
        <w:left w:val="none" w:sz="0" w:space="0" w:color="auto"/>
        <w:bottom w:val="none" w:sz="0" w:space="0" w:color="auto"/>
        <w:right w:val="none" w:sz="0" w:space="0" w:color="auto"/>
      </w:divBdr>
      <w:divsChild>
        <w:div w:id="936980137">
          <w:marLeft w:val="0"/>
          <w:marRight w:val="0"/>
          <w:marTop w:val="0"/>
          <w:marBottom w:val="0"/>
          <w:divBdr>
            <w:top w:val="none" w:sz="0" w:space="0" w:color="auto"/>
            <w:left w:val="none" w:sz="0" w:space="0" w:color="auto"/>
            <w:bottom w:val="none" w:sz="0" w:space="0" w:color="auto"/>
            <w:right w:val="none" w:sz="0" w:space="0" w:color="auto"/>
          </w:divBdr>
          <w:divsChild>
            <w:div w:id="1031809258">
              <w:marLeft w:val="0"/>
              <w:marRight w:val="0"/>
              <w:marTop w:val="0"/>
              <w:marBottom w:val="0"/>
              <w:divBdr>
                <w:top w:val="none" w:sz="0" w:space="0" w:color="auto"/>
                <w:left w:val="none" w:sz="0" w:space="0" w:color="auto"/>
                <w:bottom w:val="none" w:sz="0" w:space="0" w:color="auto"/>
                <w:right w:val="none" w:sz="0" w:space="0" w:color="auto"/>
              </w:divBdr>
              <w:divsChild>
                <w:div w:id="1072043758">
                  <w:marLeft w:val="0"/>
                  <w:marRight w:val="0"/>
                  <w:marTop w:val="0"/>
                  <w:marBottom w:val="0"/>
                  <w:divBdr>
                    <w:top w:val="single" w:sz="4" w:space="0" w:color="37383B"/>
                    <w:left w:val="none" w:sz="0" w:space="0" w:color="auto"/>
                    <w:bottom w:val="none" w:sz="0" w:space="0" w:color="auto"/>
                    <w:right w:val="none" w:sz="0" w:space="0" w:color="auto"/>
                  </w:divBdr>
                  <w:divsChild>
                    <w:div w:id="2052681747">
                      <w:marLeft w:val="0"/>
                      <w:marRight w:val="0"/>
                      <w:marTop w:val="0"/>
                      <w:marBottom w:val="0"/>
                      <w:divBdr>
                        <w:top w:val="single" w:sz="4" w:space="0" w:color="37383B"/>
                        <w:left w:val="single" w:sz="6" w:space="0" w:color="CCCCCC"/>
                        <w:bottom w:val="single" w:sz="6" w:space="0" w:color="CCCCCC"/>
                        <w:right w:val="single" w:sz="6" w:space="0" w:color="CCCCCC"/>
                      </w:divBdr>
                      <w:divsChild>
                        <w:div w:id="202042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799</Words>
  <Characters>4556</Characters>
  <Application>Microsoft Office Word</Application>
  <DocSecurity>0</DocSecurity>
  <Lines>37</Lines>
  <Paragraphs>10</Paragraphs>
  <ScaleCrop>false</ScaleCrop>
  <Company/>
  <LinksUpToDate>false</LinksUpToDate>
  <CharactersWithSpaces>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Saxena</dc:creator>
  <cp:keywords/>
  <dc:description/>
  <cp:lastModifiedBy>Gaurav Saxena</cp:lastModifiedBy>
  <cp:revision>2</cp:revision>
  <dcterms:created xsi:type="dcterms:W3CDTF">2025-08-19T19:13:00Z</dcterms:created>
  <dcterms:modified xsi:type="dcterms:W3CDTF">2025-08-19T19:13:00Z</dcterms:modified>
</cp:coreProperties>
</file>