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Aurix Motors: EV Business Performance &amp; Analytics Case Study</w:t>
      </w:r>
    </w:p>
    <w:p/>
    <w:p>
      <w:r>
        <w:t>Executive Summary</w:t>
      </w:r>
    </w:p>
    <w:p>
      <w:r>
        <w:t>Aurix Motors is a fictional electric vehicle (EV) manufacturer created for professional analytics and business intelligence demonstration. This case study presents an end-to-end analysis of Aurix Motors using synthetic, finance-grade data modeled to reflect real-world EV industry dynamics. The study evaluates performance across executive strategy, sales, finance, operations, workforce, and customer experience.</w:t>
      </w:r>
    </w:p>
    <w:p/>
    <w:p>
      <w:r>
        <w:t>Company Background</w:t>
      </w:r>
    </w:p>
    <w:p>
      <w:r>
        <w:t>Aurix Motors operates across Asia, Europe, and North America, offering a diversified EV portfolio spanning mass-market, premium, and niche models. The company represents a mid-to-large scale EV manufacturer transitioning from growth-led expansion to efficiency- and margin-driven operations.</w:t>
      </w:r>
    </w:p>
    <w:p/>
    <w:p>
      <w:r>
        <w:t>Business Objectives</w:t>
      </w:r>
    </w:p>
    <w:p>
      <w:r>
        <w:t>The case study addresses critical business questions:</w:t>
      </w:r>
    </w:p>
    <w:p>
      <w:r>
        <w:t>- Is revenue growth sustainable?</w:t>
      </w:r>
    </w:p>
    <w:p>
      <w:r>
        <w:t>- Are margins improving through efficiency?</w:t>
      </w:r>
    </w:p>
    <w:p>
      <w:r>
        <w:t>- How do regional strategies differ?</w:t>
      </w:r>
    </w:p>
    <w:p>
      <w:r>
        <w:t>- Which EV models drive volume versus profitability?</w:t>
      </w:r>
    </w:p>
    <w:p>
      <w:r>
        <w:t>- How do operational constraints impact performance?</w:t>
      </w:r>
    </w:p>
    <w:p>
      <w:r>
        <w:t>- How does customer sentiment align with product strategy?</w:t>
      </w:r>
    </w:p>
    <w:p/>
    <w:p>
      <w:r>
        <w:t>Data &amp; Methodology</w:t>
      </w:r>
    </w:p>
    <w:p>
      <w:r>
        <w:t>All data used is fully synthetic and designed to mirror realistic EV business behavior. The dataset spans 2022–2026 and follows a star-schema structure suitable for Power BI. Key realism constraints include non-flat trends, asymmetric regional contributions, differentiated model economics, and realistic cost structures.</w:t>
      </w:r>
    </w:p>
    <w:p/>
    <w:p>
      <w:r>
        <w:t>Executive Performance Analysis</w:t>
      </w:r>
    </w:p>
    <w:p>
      <w:r>
        <w:t>Aurix Motors shows consistent revenue growth with stable gross margins around industry norms. Net profitability improves gradually, driven by operating leverage rather than artificial pricing effects. Asia leads volume, Europe provides stability, and North America contributes premium efficiency.</w:t>
      </w:r>
    </w:p>
    <w:p/>
    <w:p>
      <w:r>
        <w:t>Sales Performance</w:t>
      </w:r>
    </w:p>
    <w:p>
      <w:r>
        <w:t>Sales growth is achieved with disciplined discounting. The mass-market Aurix X1 drives volume, while Aurix Prime and Aurix Z preserve pricing power. Revenue diversification across models reduces dependency risk.</w:t>
      </w:r>
    </w:p>
    <w:p/>
    <w:p>
      <w:r>
        <w:t>Financial Performance</w:t>
      </w:r>
    </w:p>
    <w:p>
      <w:r>
        <w:t>Manufacturing and battery costs dominate the cost structure, reflecting EV industry realities. Gross margins remain stable while net margins improve year over year. Model-level profitability varies intentionally, with niche models operating near breakeven.</w:t>
      </w:r>
    </w:p>
    <w:p/>
    <w:p>
      <w:r>
        <w:t>Operations &amp; Manufacturing</w:t>
      </w:r>
    </w:p>
    <w:p>
      <w:r>
        <w:t>Production is regionally specialized. Asia serves as the volume backbone, Europe leads in efficiency with minimal downtime, and North America handles complex, premium builds at the cost of higher downtime.</w:t>
      </w:r>
    </w:p>
    <w:p/>
    <w:p>
      <w:r>
        <w:t>Workforce Analysis</w:t>
      </w:r>
    </w:p>
    <w:p>
      <w:r>
        <w:t>Workforce allocation supports production needs rather than revenue inflation. North America achieves the highest revenue per employee despite higher labor costs. Manufacturing dominates workforce composition while administrative overhead remains lean.</w:t>
      </w:r>
    </w:p>
    <w:p/>
    <w:p>
      <w:r>
        <w:t>Customer Experience</w:t>
      </w:r>
    </w:p>
    <w:p>
      <w:r>
        <w:t>Overall customer satisfaction is strong, with feedback patterns reflecting common EV industry challenges such as battery performance and software maturity. Premium models lead satisfaction, while mass-market models generate higher feedback volume.</w:t>
      </w:r>
    </w:p>
    <w:p/>
    <w:p>
      <w:r>
        <w:t>Strategic Insights</w:t>
      </w:r>
    </w:p>
    <w:p>
      <w:r>
        <w:t>Aurix Motors demonstrates how analytics-driven decision-making supports sustainable growth, operational efficiency, and strategic alignment across business functions.</w:t>
      </w:r>
    </w:p>
    <w:p/>
    <w:p>
      <w:r>
        <w:t>Conclusion</w:t>
      </w:r>
    </w:p>
    <w:p>
      <w:r>
        <w:t>This case study illustrates how realistic data modeling and integrated analytics can replicate the complexity of a real EV business, making it suitable for professional evaluation, portfolio presentation, and interview discussion.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