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DE91" w14:textId="77777777" w:rsidR="00E9622F" w:rsidRDefault="00EA16CA">
      <w:pPr>
        <w:jc w:val="center"/>
      </w:pPr>
      <w:r>
        <w:rPr>
          <w:b/>
          <w:color w:val="5F259F"/>
          <w:sz w:val="36"/>
        </w:rPr>
        <w:t>PhonePe Fintech Performance Analytics</w:t>
      </w:r>
    </w:p>
    <w:p w14:paraId="4BF116D9" w14:textId="77777777" w:rsidR="00E9622F" w:rsidRDefault="00EA16CA">
      <w:pPr>
        <w:jc w:val="center"/>
      </w:pPr>
      <w:r>
        <w:rPr>
          <w:i/>
          <w:sz w:val="24"/>
        </w:rPr>
        <w:t>Data Source and Methodology</w:t>
      </w:r>
    </w:p>
    <w:p w14:paraId="7B06692F" w14:textId="77777777" w:rsidR="00E9622F" w:rsidRDefault="00E9622F">
      <w:pPr>
        <w:pBdr>
          <w:bottom w:val="single" w:sz="6" w:space="1" w:color="5F259F"/>
        </w:pBdr>
        <w:jc w:val="center"/>
      </w:pPr>
    </w:p>
    <w:p w14:paraId="3FFE1A06" w14:textId="77777777" w:rsidR="00E9622F" w:rsidRDefault="00E9622F"/>
    <w:p w14:paraId="12392C07" w14:textId="77777777" w:rsidR="00E9622F" w:rsidRDefault="00EA16CA">
      <w:r>
        <w:rPr>
          <w:b/>
          <w:color w:val="5F259F"/>
        </w:rPr>
        <w:t>1. Data Source Overview</w:t>
      </w:r>
    </w:p>
    <w:p w14:paraId="365AC5D6" w14:textId="77777777" w:rsidR="00E9622F" w:rsidRDefault="00EA16CA">
      <w:pPr>
        <w:jc w:val="both"/>
      </w:pPr>
      <w:r>
        <w:t>This project utilizes publicly available data from the PhonePe Pulse open data repository. The dataset is distributed in structured JSON format and organized by year and quarter. It provides aggregated insights into digital transactions, user adoption metrics, and insurance activity across India.</w:t>
      </w:r>
    </w:p>
    <w:p w14:paraId="53646C8C" w14:textId="77777777" w:rsidR="00E9622F" w:rsidRDefault="00EA16CA">
      <w:pPr>
        <w:jc w:val="both"/>
      </w:pPr>
      <w:r>
        <w:t>The data is sourced directly from the official repository and reflects the same structured aggregation framework used in the PhonePe Pulse platform. All data used in this project is aggregated at state or regional level, with no access to individual transaction or user-level records.</w:t>
      </w:r>
    </w:p>
    <w:p w14:paraId="4EA50D7A" w14:textId="77777777" w:rsidR="00E9622F" w:rsidRDefault="00EA16CA">
      <w:r>
        <w:rPr>
          <w:b/>
          <w:color w:val="5F259F"/>
        </w:rPr>
        <w:t>2. Data Coverage and Granularity</w:t>
      </w:r>
    </w:p>
    <w:p w14:paraId="2D02DA43" w14:textId="77777777" w:rsidR="00E9622F" w:rsidRDefault="00EA16CA">
      <w:pPr>
        <w:jc w:val="both"/>
      </w:pPr>
      <w:r>
        <w:t>The analysis covers quarterly data from 2018 to 2024 for transactions and user metrics. Insurance data is available from 2020 Q2 onward, which is considered a structural limitation of the dataset rather than a data quality issue.</w:t>
      </w:r>
    </w:p>
    <w:p w14:paraId="617C071E" w14:textId="77777777" w:rsidR="00E9622F" w:rsidRDefault="00EA16CA">
      <w:pPr>
        <w:jc w:val="both"/>
      </w:pPr>
      <w:r>
        <w:t>Granularity of datasets used in the warehouse is defined as follows:</w:t>
      </w:r>
    </w:p>
    <w:p w14:paraId="6E29EE60" w14:textId="77777777" w:rsidR="00E9622F" w:rsidRDefault="00EA16CA">
      <w:pPr>
        <w:jc w:val="both"/>
      </w:pPr>
      <w:r>
        <w:t>• Transactions: State × Quarter × Transaction Type</w:t>
      </w:r>
    </w:p>
    <w:p w14:paraId="59AAC8F7" w14:textId="77777777" w:rsidR="00E9622F" w:rsidRDefault="00EA16CA">
      <w:pPr>
        <w:jc w:val="both"/>
      </w:pPr>
      <w:r>
        <w:t>• Users: State × Quarter</w:t>
      </w:r>
    </w:p>
    <w:p w14:paraId="07ECA1BF" w14:textId="77777777" w:rsidR="00E9622F" w:rsidRDefault="00EA16CA">
      <w:pPr>
        <w:jc w:val="both"/>
      </w:pPr>
      <w:r>
        <w:t>• Insurance: National × Quarter × Insurance Type</w:t>
      </w:r>
    </w:p>
    <w:p w14:paraId="1C05D316" w14:textId="77777777" w:rsidR="00E9622F" w:rsidRDefault="00EA16CA">
      <w:r>
        <w:rPr>
          <w:b/>
          <w:color w:val="5F259F"/>
        </w:rPr>
        <w:t>3. Data Ingestion Process</w:t>
      </w:r>
    </w:p>
    <w:p w14:paraId="267FBD66" w14:textId="77777777" w:rsidR="00E9622F" w:rsidRDefault="00EA16CA">
      <w:pPr>
        <w:jc w:val="both"/>
      </w:pPr>
      <w:r>
        <w:t>Python was used to programmatically access and flatten the JSON files into structured tabular format. Nested attributes were normalized, and hierarchical fields were extracted into clearly defined columns.</w:t>
      </w:r>
    </w:p>
    <w:p w14:paraId="0D91B3B2" w14:textId="77777777" w:rsidR="00E9622F" w:rsidRDefault="00EA16CA">
      <w:pPr>
        <w:jc w:val="both"/>
      </w:pPr>
      <w:r>
        <w:t>During ingestion, column naming conventions were standardized, data types were validated, and monetary values were transformed into consistent units (₹ Crore) to improve readability and aggregation clarity.</w:t>
      </w:r>
    </w:p>
    <w:p w14:paraId="29A76BA3" w14:textId="77777777" w:rsidR="00E9622F" w:rsidRDefault="00EA16CA">
      <w:r>
        <w:rPr>
          <w:b/>
          <w:color w:val="5F259F"/>
        </w:rPr>
        <w:t>4. Data Transformation and Standardization</w:t>
      </w:r>
    </w:p>
    <w:p w14:paraId="16D919FE" w14:textId="77777777" w:rsidR="00E9622F" w:rsidRDefault="00EA16CA">
      <w:pPr>
        <w:jc w:val="both"/>
      </w:pPr>
      <w:r>
        <w:t>Following ingestion, structured CSV files were generated and prepared for loading into the MySQL data warehouse. Transformation steps included creation of surrogate time keys, normalization of region mapping, and verification of transaction type classifications.</w:t>
      </w:r>
    </w:p>
    <w:p w14:paraId="21C6ED95" w14:textId="77777777" w:rsidR="00E9622F" w:rsidRDefault="00EA16CA">
      <w:pPr>
        <w:jc w:val="both"/>
      </w:pPr>
      <w:r>
        <w:t>All datasets were checked for duplicate quarters, missing state coverage, and continuity of quarterly sequences to ensure structural consistency before warehouse modeling.</w:t>
      </w:r>
    </w:p>
    <w:p w14:paraId="6AC745A4" w14:textId="77777777" w:rsidR="0028029C" w:rsidRDefault="0028029C">
      <w:pPr>
        <w:jc w:val="both"/>
      </w:pPr>
    </w:p>
    <w:p w14:paraId="77C4E3F5" w14:textId="77777777" w:rsidR="0028029C" w:rsidRDefault="0028029C">
      <w:pPr>
        <w:jc w:val="both"/>
      </w:pPr>
    </w:p>
    <w:p w14:paraId="20EB6873" w14:textId="77777777" w:rsidR="0028029C" w:rsidRDefault="0028029C">
      <w:pPr>
        <w:jc w:val="both"/>
      </w:pPr>
    </w:p>
    <w:p w14:paraId="25770E7B" w14:textId="77777777" w:rsidR="0028029C" w:rsidRDefault="0028029C">
      <w:pPr>
        <w:jc w:val="both"/>
      </w:pPr>
    </w:p>
    <w:p w14:paraId="5B600A77" w14:textId="77777777" w:rsidR="0028029C" w:rsidRDefault="0028029C">
      <w:pPr>
        <w:jc w:val="both"/>
      </w:pPr>
    </w:p>
    <w:p w14:paraId="22C48580" w14:textId="77777777" w:rsidR="0028029C" w:rsidRDefault="0028029C">
      <w:pPr>
        <w:jc w:val="both"/>
      </w:pPr>
    </w:p>
    <w:p w14:paraId="5292C57C" w14:textId="77777777" w:rsidR="0028029C" w:rsidRDefault="0028029C">
      <w:pPr>
        <w:jc w:val="both"/>
      </w:pPr>
    </w:p>
    <w:p w14:paraId="67952B78" w14:textId="77777777" w:rsidR="00E9622F" w:rsidRDefault="00EA16CA">
      <w:r>
        <w:rPr>
          <w:b/>
          <w:color w:val="5F259F"/>
        </w:rPr>
        <w:t>5. Data Validation Framework</w:t>
      </w:r>
    </w:p>
    <w:p w14:paraId="60B1793A" w14:textId="77777777" w:rsidR="00E9622F" w:rsidRDefault="00EA16CA">
      <w:pPr>
        <w:jc w:val="both"/>
      </w:pPr>
      <w:r>
        <w:t>Multiple validation controls were implemented prior to warehouse loading. These included reconciliation of regional totals against national aggregates, verification of share percentages, and confirmation that growth calculations behaved consistently across time partitions.</w:t>
      </w:r>
    </w:p>
    <w:p w14:paraId="13848FB9" w14:textId="77777777" w:rsidR="00E9622F" w:rsidRDefault="00EA16CA">
      <w:pPr>
        <w:jc w:val="both"/>
      </w:pPr>
      <w:r>
        <w:t>Quarter continuity checks ensured no missing or duplicate time periods. State coverage validation confirmed complete representation across available quarters. These steps established analytical reliability and data integrity.</w:t>
      </w:r>
    </w:p>
    <w:p w14:paraId="5F8A6407" w14:textId="77777777" w:rsidR="00E9622F" w:rsidRDefault="00EA16CA">
      <w:r>
        <w:rPr>
          <w:b/>
          <w:color w:val="5F259F"/>
        </w:rPr>
        <w:t>6. Methodological Approach</w:t>
      </w:r>
    </w:p>
    <w:p w14:paraId="5B2C46BE" w14:textId="77777777" w:rsidR="00E9622F" w:rsidRDefault="00EA16CA">
      <w:pPr>
        <w:jc w:val="both"/>
      </w:pPr>
      <w:r>
        <w:t>The methodology follows a structured pipeline: Python for data ingestion and preprocessing, MySQL for warehouse modeling and KPI computation, and Power BI for controlled visualization.</w:t>
      </w:r>
    </w:p>
    <w:p w14:paraId="4CA2DDEF" w14:textId="77777777" w:rsidR="00E9622F" w:rsidRDefault="00EA16CA">
      <w:pPr>
        <w:jc w:val="both"/>
      </w:pPr>
      <w:r>
        <w:t>All growth calculations utilize SQL window functions such as LAG() to ensure deterministic computation. The BI layer does not redefine business logic, maintaining separation between analytical definitions and presentation.</w:t>
      </w:r>
    </w:p>
    <w:sectPr w:rsidR="00E962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732128">
    <w:abstractNumId w:val="8"/>
  </w:num>
  <w:num w:numId="2" w16cid:durableId="637032144">
    <w:abstractNumId w:val="6"/>
  </w:num>
  <w:num w:numId="3" w16cid:durableId="233055304">
    <w:abstractNumId w:val="5"/>
  </w:num>
  <w:num w:numId="4" w16cid:durableId="346642370">
    <w:abstractNumId w:val="4"/>
  </w:num>
  <w:num w:numId="5" w16cid:durableId="1886330248">
    <w:abstractNumId w:val="7"/>
  </w:num>
  <w:num w:numId="6" w16cid:durableId="1845977249">
    <w:abstractNumId w:val="3"/>
  </w:num>
  <w:num w:numId="7" w16cid:durableId="1831946477">
    <w:abstractNumId w:val="2"/>
  </w:num>
  <w:num w:numId="8" w16cid:durableId="370812792">
    <w:abstractNumId w:val="1"/>
  </w:num>
  <w:num w:numId="9" w16cid:durableId="64744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29C"/>
    <w:rsid w:val="0029639D"/>
    <w:rsid w:val="00326F90"/>
    <w:rsid w:val="0050017E"/>
    <w:rsid w:val="00AA1D8D"/>
    <w:rsid w:val="00B47730"/>
    <w:rsid w:val="00CB0664"/>
    <w:rsid w:val="00E9622F"/>
    <w:rsid w:val="00EA1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17C912-BED9-405E-8E35-1895158E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2</cp:revision>
  <dcterms:created xsi:type="dcterms:W3CDTF">2013-12-23T23:15:00Z</dcterms:created>
  <dcterms:modified xsi:type="dcterms:W3CDTF">2026-02-15T09:35:00Z</dcterms:modified>
  <cp:category/>
</cp:coreProperties>
</file>