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259F"/>
          <w:sz w:val="36"/>
        </w:rPr>
        <w:t>PhonePe Fintech Performance Analytics</w:t>
      </w:r>
    </w:p>
    <w:p>
      <w:pPr>
        <w:jc w:val="center"/>
      </w:pPr>
      <w:r>
        <w:rPr>
          <w:i/>
          <w:sz w:val="24"/>
        </w:rPr>
        <w:t>Data Model and Warehouse Architecture</w:t>
      </w:r>
    </w:p>
    <w:p>
      <w:pPr>
        <w:jc w:val="center"/>
        <w:pBdr>
          <w:bottom w:val="single" w:sz="6" w:space="1" w:color="5F259F"/>
        </w:pBdr>
      </w:pPr>
    </w:p>
    <w:p/>
    <w:p>
      <w:r>
        <w:rPr>
          <w:b/>
          <w:color w:val="5F259F"/>
        </w:rPr>
        <w:t>1. Warehouse Architecture Overview</w:t>
      </w:r>
    </w:p>
    <w:p>
      <w:pPr>
        <w:jc w:val="both"/>
      </w:pPr>
      <w:r>
        <w:t>The PhonePe Fintech Performance Analytics project is built on a structured SQL-first data warehouse implemented in MySQL. The architecture follows a star schema design to ensure controlled aggregation behavior, clear grain definition, scalability, and analytical consistency across dashboards.</w:t>
      </w:r>
    </w:p>
    <w:p>
      <w:pPr>
        <w:jc w:val="both"/>
      </w:pPr>
      <w:r>
        <w:t>All business metrics including growth rates, shares, rankings, and structural KPIs are defined in SQL analytical views. Power BI functions strictly as a semantic and visualization layer without redefining core business logic.</w:t>
      </w:r>
    </w:p>
    <w:p>
      <w:r>
        <w:rPr>
          <w:b/>
          <w:color w:val="5F259F"/>
        </w:rPr>
        <w:t>2. Database Structure</w:t>
      </w:r>
    </w:p>
    <w:p>
      <w:pPr>
        <w:jc w:val="both"/>
      </w:pPr>
      <w:r>
        <w:t>Database Name: phonepe_analytics</w:t>
      </w:r>
    </w:p>
    <w:p>
      <w:pPr>
        <w:jc w:val="both"/>
      </w:pPr>
      <w:r>
        <w:t>The database consists of staging tables, dimension tables, fact tables, core aggregation views, derived analytical views, and executive snapshot views. Each layer has a defined analytical responsibility.</w:t>
      </w:r>
    </w:p>
    <w:p>
      <w:r>
        <w:rPr>
          <w:b/>
          <w:color w:val="5F259F"/>
        </w:rPr>
        <w:t>3. Dimension Tables</w:t>
      </w:r>
    </w:p>
    <w:p>
      <w:pPr>
        <w:jc w:val="both"/>
      </w:pPr>
      <w:r>
        <w:t>• dim_time: time_id (PK), year, quarter, year_quarter, short_year_quarter. Controls chronological filtering and ensures correct ordering of quarters.</w:t>
      </w:r>
    </w:p>
    <w:p>
      <w:pPr>
        <w:jc w:val="both"/>
      </w:pPr>
      <w:r>
        <w:t>• dim_state: state_id (PK), state_name, region. Supports state-level slicing and structured regional grouping.</w:t>
      </w:r>
    </w:p>
    <w:p>
      <w:pPr>
        <w:jc w:val="both"/>
      </w:pPr>
      <w:r>
        <w:t>• dim_region: region_id (PK), region_name. Prevents many-to-many joins and enforces controlled regional aggregation.</w:t>
      </w:r>
    </w:p>
    <w:p>
      <w:r>
        <w:rPr>
          <w:b/>
          <w:color w:val="5F259F"/>
        </w:rPr>
        <w:t>4. Fact Tables and Grain Definition</w:t>
      </w:r>
    </w:p>
    <w:p>
      <w:pPr>
        <w:jc w:val="both"/>
      </w:pPr>
      <w:r>
        <w:t>• fact_transactions – Grain: State × Quarter × Transaction Type. Stores total_transactions, total_transaction_value_rupees, and total_transaction_value_crore. Serves as the base for adoption, growth, monetization, and structural dominance analysis.</w:t>
      </w:r>
    </w:p>
    <w:p>
      <w:pPr>
        <w:jc w:val="both"/>
      </w:pPr>
      <w:r>
        <w:t>• fact_users – Grain: State × Quarter. Stores total_registered_users and total_app_opens for engagement analytics.</w:t>
      </w:r>
    </w:p>
    <w:p>
      <w:pPr>
        <w:jc w:val="both"/>
      </w:pPr>
      <w:r>
        <w:t>• fact_insurance – Grain: National × Quarter × Insurance Type. Stores policy_count, insurance_amount_rupees, insurance_amount_crore, and avg_policy_value. Insurance data begins from 2020 Q2 and is modeled for future analytical expansion.</w:t>
      </w:r>
    </w:p>
    <w:p>
      <w:r>
        <w:rPr>
          <w:b/>
          <w:color w:val="5F259F"/>
        </w:rPr>
        <w:t>5. Core Aggregation Views (Layer 1)</w:t>
      </w:r>
    </w:p>
    <w:p>
      <w:pPr>
        <w:jc w:val="both"/>
      </w:pPr>
      <w:r>
        <w:t>• vw_core_quarterly_national_transactions – National totals per quarter.</w:t>
      </w:r>
    </w:p>
    <w:p>
      <w:pPr>
        <w:jc w:val="both"/>
      </w:pPr>
      <w:r>
        <w:t>• vw_core_quarterly_regional_transactions – Region × Quarter aggregation.</w:t>
      </w:r>
    </w:p>
    <w:p>
      <w:pPr>
        <w:jc w:val="both"/>
      </w:pPr>
      <w:r>
        <w:t>• vw_core_quarterly_state_transactions – State × Quarter aggregation.</w:t>
      </w:r>
    </w:p>
    <w:p>
      <w:pPr>
        <w:jc w:val="both"/>
      </w:pPr>
      <w:r>
        <w:t>• vw_core_quarterly_transaction_type – Transaction Type × Quarter aggregation.</w:t>
      </w:r>
    </w:p>
    <w:p>
      <w:pPr>
        <w:jc w:val="both"/>
      </w:pPr>
      <w:r>
        <w:t>• vw_core_quarterly_users – State × Quarter user aggregation.</w:t>
      </w:r>
    </w:p>
    <w:p>
      <w:pPr>
        <w:jc w:val="both"/>
      </w:pPr>
      <w:r>
        <w:t>• vw_core_quarterly_insurance – Insurance × Quarter aggregation.</w:t>
      </w:r>
    </w:p>
    <w:p>
      <w:r>
        <w:rPr>
          <w:b/>
          <w:color w:val="5F259F"/>
        </w:rPr>
        <w:t>6. Derived Analytical Views (Layer 2)</w:t>
      </w:r>
    </w:p>
    <w:p>
      <w:pPr>
        <w:jc w:val="both"/>
      </w:pPr>
      <w:r>
        <w:t>• vw_national_growth – QoQ &amp; YoY national growth using LAG().</w:t>
      </w:r>
    </w:p>
    <w:p>
      <w:pPr>
        <w:jc w:val="both"/>
      </w:pPr>
      <w:r>
        <w:t>• vw_regional_growth – Regional growth metrics.</w:t>
      </w:r>
    </w:p>
    <w:p>
      <w:pPr>
        <w:jc w:val="both"/>
      </w:pPr>
      <w:r>
        <w:t>• vw_state_leaderboard – Latest quarter state ranking and contribution %.</w:t>
      </w:r>
    </w:p>
    <w:p>
      <w:pPr>
        <w:jc w:val="both"/>
      </w:pPr>
      <w:r>
        <w:t>• vw_merchant_vs_p2p_share – Merchant vs P2P structural share.</w:t>
      </w:r>
    </w:p>
    <w:p>
      <w:pPr>
        <w:jc w:val="both"/>
      </w:pPr>
      <w:r>
        <w:t>• vw_merchant_growth – Merchant QoQ &amp; YoY growth.</w:t>
      </w:r>
    </w:p>
    <w:p>
      <w:pPr>
        <w:jc w:val="both"/>
      </w:pPr>
      <w:r>
        <w:t>• vw_regional_merchant_intensity – Merchant share within region.</w:t>
      </w:r>
    </w:p>
    <w:p>
      <w:pPr>
        <w:jc w:val="both"/>
      </w:pPr>
      <w:r>
        <w:t>• vw_user_growth – User and app opens growth calculations.</w:t>
      </w:r>
    </w:p>
    <w:p>
      <w:pPr>
        <w:jc w:val="both"/>
      </w:pPr>
      <w:r>
        <w:t>• vw_engagement_intensity – Weighted engagement ratio.</w:t>
      </w:r>
    </w:p>
    <w:p>
      <w:pPr>
        <w:jc w:val="both"/>
      </w:pPr>
      <w:r>
        <w:t>• vw_fastest_growing_region – Regional YoY growth ranking.</w:t>
      </w:r>
    </w:p>
    <w:p>
      <w:pPr>
        <w:jc w:val="both"/>
      </w:pPr>
      <w:r>
        <w:t>• vw_insurance_growth – Insurance growth metrics (future scope).</w:t>
      </w:r>
    </w:p>
    <w:p>
      <w:pPr>
        <w:jc w:val="both"/>
      </w:pPr>
      <w:r>
        <w:t>• vw_master_kpi_summary – Latest quarter executive KPI snapshot.</w:t>
      </w:r>
    </w:p>
    <w:p>
      <w:pPr>
        <w:jc w:val="both"/>
      </w:pPr>
      <w:r>
        <w:t>• vw_historical_master_kpi – Consolidated historical KPI alignment.</w:t>
      </w:r>
    </w:p>
    <w:p>
      <w:r>
        <w:rPr>
          <w:b/>
          <w:color w:val="5F259F"/>
        </w:rPr>
        <w:t>7. Growth Calculation Methodology</w:t>
      </w:r>
    </w:p>
    <w:p>
      <w:pPr>
        <w:jc w:val="both"/>
      </w:pPr>
      <w:r>
        <w:t>Quarter-over-Quarter (QoQ) and Year-over-Year (YoY) growth rates are calculated using SQL window functions such as LAG() with appropriate PARTITION BY and ORDER BY clauses. This ensures deterministic, reproducible, and consistent growth computation across regions and states.</w:t>
      </w:r>
    </w:p>
    <w:p>
      <w:r>
        <w:rPr>
          <w:b/>
          <w:color w:val="5F259F"/>
        </w:rPr>
        <w:t>8. Data Governance and Validation Controls</w:t>
      </w:r>
    </w:p>
    <w:p>
      <w:pPr>
        <w:jc w:val="both"/>
      </w:pPr>
      <w:r>
        <w:t>Strict aggregation rules are enforced within the warehouse. Absolute metrics use SUM, percentage metrics use AVERAGE where applicable, snapshot KPIs use MAX for latest-quarter extraction, and ratios are calculated using weighted logic.</w:t>
      </w:r>
    </w:p>
    <w:p>
      <w:pPr>
        <w:jc w:val="both"/>
      </w:pPr>
      <w:r>
        <w:t>Validation checks include quarter continuity verification, state coverage confirmation, reconciliation of regional and national totals, and share percentage alignment (~100%). These controls ensure analytical reliability and interview-defensible accuracy.</w:t>
      </w:r>
    </w:p>
    <w:p>
      <w:r>
        <w:rPr>
          <w:b/>
          <w:color w:val="5F259F"/>
        </w:rPr>
        <w:t>9. Design Philosophy</w:t>
      </w:r>
    </w:p>
    <w:p>
      <w:pPr>
        <w:jc w:val="both"/>
      </w:pPr>
      <w:r>
        <w:t>The warehouse-first philosophy ensures that SQL defines analytical truth. Power BI remains a controlled presentation layer, preventing duplication of business logic and maintaining long-term scalability.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