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92B2" w14:textId="77777777" w:rsidR="00437CEA" w:rsidRDefault="003D6FD5">
      <w:pPr>
        <w:jc w:val="center"/>
      </w:pPr>
      <w:r>
        <w:rPr>
          <w:b/>
          <w:color w:val="5F259F"/>
          <w:sz w:val="36"/>
        </w:rPr>
        <w:t>PhonePe Fintech Performance Analytics</w:t>
      </w:r>
    </w:p>
    <w:p w14:paraId="128FB106" w14:textId="77777777" w:rsidR="00437CEA" w:rsidRDefault="003D6FD5">
      <w:pPr>
        <w:jc w:val="center"/>
      </w:pPr>
      <w:r>
        <w:rPr>
          <w:i/>
          <w:sz w:val="24"/>
        </w:rPr>
        <w:t>Dashboard Design and Analytical Framework</w:t>
      </w:r>
    </w:p>
    <w:p w14:paraId="2D86FE69" w14:textId="77777777" w:rsidR="00437CEA" w:rsidRDefault="00437CEA">
      <w:pPr>
        <w:pBdr>
          <w:bottom w:val="single" w:sz="6" w:space="1" w:color="5F259F"/>
        </w:pBdr>
        <w:jc w:val="center"/>
      </w:pPr>
    </w:p>
    <w:p w14:paraId="2EDAC3B5" w14:textId="77777777" w:rsidR="00437CEA" w:rsidRDefault="00437CEA"/>
    <w:p w14:paraId="1992CE1F" w14:textId="77777777" w:rsidR="00437CEA" w:rsidRDefault="003D6FD5">
      <w:r>
        <w:rPr>
          <w:b/>
          <w:color w:val="5F259F"/>
        </w:rPr>
        <w:t>1. Dashboard Design Philosophy</w:t>
      </w:r>
    </w:p>
    <w:p w14:paraId="2FFA4D29" w14:textId="77777777" w:rsidR="00437CEA" w:rsidRDefault="003D6FD5">
      <w:pPr>
        <w:jc w:val="both"/>
      </w:pPr>
      <w:r>
        <w:t>The dashboard layer is designed to reflect structured analytical thinking rather than visual complexity. Each dashboard addresses a distinct strategic question and avoids duplication of logic or metrics across pages.</w:t>
      </w:r>
    </w:p>
    <w:p w14:paraId="306EE5D4" w14:textId="77777777" w:rsidR="00437CEA" w:rsidRDefault="003D6FD5">
      <w:pPr>
        <w:jc w:val="both"/>
      </w:pPr>
      <w:r>
        <w:t>All KPIs are defined in SQL views, ensuring consistency and governance. Power BI is used strictly for semantic modeling, controlled filtering, and visual storytelling without redefining business calculations.</w:t>
      </w:r>
    </w:p>
    <w:p w14:paraId="2973B7E1" w14:textId="77777777" w:rsidR="00437CEA" w:rsidRDefault="003D6FD5">
      <w:r>
        <w:rPr>
          <w:b/>
          <w:color w:val="5F259F"/>
        </w:rPr>
        <w:t>2. Dashboard 1 – Adoption &amp; Payment Growth</w:t>
      </w:r>
    </w:p>
    <w:p w14:paraId="5761FF9D" w14:textId="77777777" w:rsidR="00437CEA" w:rsidRDefault="003D6FD5">
      <w:pPr>
        <w:jc w:val="both"/>
      </w:pPr>
      <w:r>
        <w:t>Purpose: Evaluate macro-level digital payment growth and identify acceleration patterns across time and regions.</w:t>
      </w:r>
    </w:p>
    <w:p w14:paraId="659811CF" w14:textId="77777777" w:rsidR="00437CEA" w:rsidRDefault="003D6FD5">
      <w:pPr>
        <w:jc w:val="both"/>
      </w:pPr>
      <w:r>
        <w:t>Key Components include latest-quarter KPI cards (Total Transaction Value, QoQ Growth %, YoY Growth %), a national transaction trend line, regional contribution visualization, and a state-level leaderboard.</w:t>
      </w:r>
    </w:p>
    <w:p w14:paraId="15F021FF" w14:textId="77777777" w:rsidR="00437CEA" w:rsidRDefault="003D6FD5">
      <w:r>
        <w:rPr>
          <w:b/>
          <w:color w:val="5F259F"/>
        </w:rPr>
        <w:t>3. Dashboard 2 – Monetization Mechanics</w:t>
      </w:r>
    </w:p>
    <w:p w14:paraId="3854E76A" w14:textId="77777777" w:rsidR="00437CEA" w:rsidRDefault="003D6FD5">
      <w:pPr>
        <w:jc w:val="both"/>
      </w:pPr>
      <w:r>
        <w:t>Purpose: Analyze the structural mix between merchant transactions and peer-to-peer transfers to assess monetization depth.</w:t>
      </w:r>
    </w:p>
    <w:p w14:paraId="2C3E94B1" w14:textId="77777777" w:rsidR="00437CEA" w:rsidRDefault="003D6FD5">
      <w:pPr>
        <w:jc w:val="both"/>
      </w:pPr>
      <w:r>
        <w:t>Key Components include Merchant Share %, Merchant Growth %, Merchant vs P2P trend visualization, and regional merchant intensity analysis for the latest quarter.</w:t>
      </w:r>
    </w:p>
    <w:p w14:paraId="77DB1334" w14:textId="77777777" w:rsidR="00437CEA" w:rsidRDefault="003D6FD5">
      <w:r>
        <w:rPr>
          <w:b/>
          <w:color w:val="5F259F"/>
        </w:rPr>
        <w:t>4. Dashboard 3 – User Adoption &amp; Engagement</w:t>
      </w:r>
    </w:p>
    <w:p w14:paraId="2A7CA7FB" w14:textId="77777777" w:rsidR="00437CEA" w:rsidRDefault="003D6FD5">
      <w:pPr>
        <w:jc w:val="both"/>
      </w:pPr>
      <w:r>
        <w:t>Purpose: Distinguish between user acquisition growth and actual engagement intensity.</w:t>
      </w:r>
    </w:p>
    <w:p w14:paraId="0B4505DA" w14:textId="77777777" w:rsidR="00437CEA" w:rsidRDefault="003D6FD5">
      <w:pPr>
        <w:jc w:val="both"/>
      </w:pPr>
      <w:r>
        <w:t>Key Components include Registered Users trend, App Opens trend, Engagement Ratio calculation, and regional engagement comparison.</w:t>
      </w:r>
    </w:p>
    <w:p w14:paraId="71FE427A" w14:textId="77777777" w:rsidR="00437CEA" w:rsidRDefault="003D6FD5">
      <w:r>
        <w:rPr>
          <w:b/>
          <w:color w:val="5F259F"/>
        </w:rPr>
        <w:t>5. Dashboard 4 – Market Leadership &amp; Structural Strength</w:t>
      </w:r>
    </w:p>
    <w:p w14:paraId="42492AB2" w14:textId="77777777" w:rsidR="00437CEA" w:rsidRDefault="003D6FD5">
      <w:pPr>
        <w:jc w:val="both"/>
      </w:pPr>
      <w:r>
        <w:t>Purpose: Evaluate regional dominance, scale hierarchy, and structural concentration within the digital payment ecosystem.</w:t>
      </w:r>
    </w:p>
    <w:p w14:paraId="0BF7C98E" w14:textId="77777777" w:rsidR="00437CEA" w:rsidRDefault="003D6FD5">
      <w:pPr>
        <w:jc w:val="both"/>
      </w:pPr>
      <w:r>
        <w:t>Key Components include Top 5 Market Share %, Average Ticket Size, Regional Scale vs Value scatter analysis, and a structural performance matrix displaying transactions, value, share %, and ticket size.</w:t>
      </w:r>
    </w:p>
    <w:p w14:paraId="70765587" w14:textId="77777777" w:rsidR="0015507E" w:rsidRDefault="0015507E">
      <w:pPr>
        <w:rPr>
          <w:b/>
          <w:color w:val="5F259F"/>
        </w:rPr>
      </w:pPr>
    </w:p>
    <w:p w14:paraId="75EB58CA" w14:textId="77777777" w:rsidR="0015507E" w:rsidRDefault="0015507E">
      <w:pPr>
        <w:rPr>
          <w:b/>
          <w:color w:val="5F259F"/>
        </w:rPr>
      </w:pPr>
    </w:p>
    <w:p w14:paraId="64F0489E" w14:textId="77777777" w:rsidR="0015507E" w:rsidRDefault="0015507E">
      <w:pPr>
        <w:rPr>
          <w:b/>
          <w:color w:val="5F259F"/>
        </w:rPr>
      </w:pPr>
    </w:p>
    <w:p w14:paraId="447A0333" w14:textId="77777777" w:rsidR="0015507E" w:rsidRDefault="0015507E">
      <w:pPr>
        <w:rPr>
          <w:b/>
          <w:color w:val="5F259F"/>
        </w:rPr>
      </w:pPr>
    </w:p>
    <w:p w14:paraId="0FB75AAC" w14:textId="77777777" w:rsidR="0015507E" w:rsidRDefault="0015507E">
      <w:pPr>
        <w:rPr>
          <w:b/>
          <w:color w:val="5F259F"/>
        </w:rPr>
      </w:pPr>
    </w:p>
    <w:p w14:paraId="07755A75" w14:textId="77777777" w:rsidR="0015507E" w:rsidRDefault="0015507E">
      <w:pPr>
        <w:rPr>
          <w:b/>
          <w:color w:val="5F259F"/>
        </w:rPr>
      </w:pPr>
    </w:p>
    <w:p w14:paraId="184033F1" w14:textId="77777777" w:rsidR="0015507E" w:rsidRDefault="0015507E">
      <w:pPr>
        <w:rPr>
          <w:b/>
          <w:color w:val="5F259F"/>
        </w:rPr>
      </w:pPr>
    </w:p>
    <w:p w14:paraId="78740304" w14:textId="77777777" w:rsidR="0015507E" w:rsidRDefault="0015507E">
      <w:pPr>
        <w:rPr>
          <w:b/>
          <w:color w:val="5F259F"/>
        </w:rPr>
      </w:pPr>
    </w:p>
    <w:p w14:paraId="3BFC0CBA" w14:textId="730A97F2" w:rsidR="00437CEA" w:rsidRDefault="003D6FD5">
      <w:r>
        <w:rPr>
          <w:b/>
          <w:color w:val="5F259F"/>
        </w:rPr>
        <w:t>6. Filtering and Model Governance</w:t>
      </w:r>
    </w:p>
    <w:p w14:paraId="4F8101A1" w14:textId="77777777" w:rsidR="00437CEA" w:rsidRDefault="003D6FD5">
      <w:pPr>
        <w:jc w:val="both"/>
      </w:pPr>
      <w:r>
        <w:t>All dashboards share a unified filter panel controlled by dim_time, dim_state, and dim_region. Manual relationships are enforced, auto-detection is disabled, and no view-to-view joins are permitted.</w:t>
      </w:r>
    </w:p>
    <w:p w14:paraId="232850F6" w14:textId="77777777" w:rsidR="00437CEA" w:rsidRDefault="003D6FD5">
      <w:pPr>
        <w:jc w:val="both"/>
      </w:pPr>
      <w:r>
        <w:t>Insurance-related views are modeled in the warehouse to support future analytical expansion, but are intentionally excluded from the current dashboard scope to maintain narrative focus.</w:t>
      </w:r>
    </w:p>
    <w:p w14:paraId="5CB6AE2E" w14:textId="77777777" w:rsidR="00437CEA" w:rsidRDefault="003D6FD5">
      <w:r>
        <w:rPr>
          <w:b/>
          <w:color w:val="5F259F"/>
        </w:rPr>
        <w:t>7. Visual Design Standards</w:t>
      </w:r>
    </w:p>
    <w:p w14:paraId="6744F91E" w14:textId="77777777" w:rsidR="00437CEA" w:rsidRDefault="003D6FD5">
      <w:pPr>
        <w:jc w:val="both"/>
      </w:pPr>
      <w:r>
        <w:t>The visual framework follows a minimal design approach with a white background, PhonePe-aligned purple accent color, clearly labeled axes, standardized units (Crore / Trillion), and a maximum of six visuals per dashboard.</w:t>
      </w:r>
    </w:p>
    <w:sectPr w:rsidR="00437C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987851">
    <w:abstractNumId w:val="8"/>
  </w:num>
  <w:num w:numId="2" w16cid:durableId="463277507">
    <w:abstractNumId w:val="6"/>
  </w:num>
  <w:num w:numId="3" w16cid:durableId="1189947265">
    <w:abstractNumId w:val="5"/>
  </w:num>
  <w:num w:numId="4" w16cid:durableId="1265573753">
    <w:abstractNumId w:val="4"/>
  </w:num>
  <w:num w:numId="5" w16cid:durableId="1761026734">
    <w:abstractNumId w:val="7"/>
  </w:num>
  <w:num w:numId="6" w16cid:durableId="408815799">
    <w:abstractNumId w:val="3"/>
  </w:num>
  <w:num w:numId="7" w16cid:durableId="2108235256">
    <w:abstractNumId w:val="2"/>
  </w:num>
  <w:num w:numId="8" w16cid:durableId="1545170551">
    <w:abstractNumId w:val="1"/>
  </w:num>
  <w:num w:numId="9" w16cid:durableId="84142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7E"/>
    <w:rsid w:val="0029639D"/>
    <w:rsid w:val="00326F90"/>
    <w:rsid w:val="003D6FD5"/>
    <w:rsid w:val="00437CEA"/>
    <w:rsid w:val="005350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22039B-8B82-4BA4-8BF6-953E373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Shinde</cp:lastModifiedBy>
  <cp:revision>2</cp:revision>
  <dcterms:created xsi:type="dcterms:W3CDTF">2013-12-23T23:15:00Z</dcterms:created>
  <dcterms:modified xsi:type="dcterms:W3CDTF">2026-02-15T09:39:00Z</dcterms:modified>
  <cp:category/>
</cp:coreProperties>
</file>