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9130F" w14:textId="77777777" w:rsidR="001D15EB" w:rsidRDefault="00163ADB">
      <w:pPr>
        <w:jc w:val="center"/>
      </w:pPr>
      <w:r>
        <w:rPr>
          <w:b/>
          <w:color w:val="5F259F"/>
          <w:sz w:val="36"/>
        </w:rPr>
        <w:t>PhonePe Fintech Performance Analytics</w:t>
      </w:r>
    </w:p>
    <w:p w14:paraId="22BCDD13" w14:textId="77777777" w:rsidR="001D15EB" w:rsidRDefault="00163ADB">
      <w:pPr>
        <w:jc w:val="center"/>
      </w:pPr>
      <w:r>
        <w:rPr>
          <w:i/>
          <w:sz w:val="24"/>
        </w:rPr>
        <w:t>KPI Definitions and Governance Framework</w:t>
      </w:r>
    </w:p>
    <w:p w14:paraId="4279E557" w14:textId="77777777" w:rsidR="001D15EB" w:rsidRDefault="001D15EB">
      <w:pPr>
        <w:pBdr>
          <w:bottom w:val="single" w:sz="6" w:space="1" w:color="5F259F"/>
        </w:pBdr>
        <w:jc w:val="center"/>
      </w:pPr>
    </w:p>
    <w:p w14:paraId="59600BDD" w14:textId="77777777" w:rsidR="001D15EB" w:rsidRDefault="001D15EB"/>
    <w:p w14:paraId="54B409EE" w14:textId="77777777" w:rsidR="001D15EB" w:rsidRDefault="00163ADB">
      <w:r>
        <w:rPr>
          <w:b/>
          <w:color w:val="5F259F"/>
        </w:rPr>
        <w:t>1. KPI Governance Philosophy</w:t>
      </w:r>
    </w:p>
    <w:p w14:paraId="19EDD7D7" w14:textId="77777777" w:rsidR="001D15EB" w:rsidRDefault="00163ADB">
      <w:pPr>
        <w:jc w:val="both"/>
      </w:pPr>
      <w:r>
        <w:t>This project follows a strict KPI governance framework where all business metrics are defined within SQL analytical views. The warehouse serves as the single source of truth, ensuring consistency, reproducibility, and correct aggregation behavior across all dashboards.</w:t>
      </w:r>
    </w:p>
    <w:p w14:paraId="547E078E" w14:textId="77777777" w:rsidR="001D15EB" w:rsidRDefault="00163ADB">
      <w:pPr>
        <w:jc w:val="both"/>
      </w:pPr>
      <w:r>
        <w:t>Absolute metrics are aggregated using SUM, percentage metrics are averaged only where appropriate, snapshot KPIs use MAX for latest-quarter extraction, and ratio-based metrics are calculated using weighted logic to prevent distortion.</w:t>
      </w:r>
    </w:p>
    <w:p w14:paraId="01F4B220" w14:textId="77777777" w:rsidR="001D15EB" w:rsidRDefault="00163ADB">
      <w:r>
        <w:rPr>
          <w:b/>
          <w:color w:val="5F259F"/>
        </w:rPr>
        <w:t>2. Adoption KPIs</w:t>
      </w:r>
    </w:p>
    <w:p w14:paraId="23621971" w14:textId="77777777" w:rsidR="001D15EB" w:rsidRDefault="00163ADB">
      <w:pPr>
        <w:jc w:val="both"/>
      </w:pPr>
      <w:r>
        <w:t>• Total Transactions – Sum of total_transactions from vw_core_quarterly_regional_transactions. Measures platform scale and adoption volume.</w:t>
      </w:r>
    </w:p>
    <w:p w14:paraId="0576D727" w14:textId="77777777" w:rsidR="001D15EB" w:rsidRDefault="00163ADB">
      <w:pPr>
        <w:jc w:val="both"/>
      </w:pPr>
      <w:r>
        <w:t>• Total Transaction Value (₹) – Sum of total_transaction_value_rupees. Represents overall economic throughput.</w:t>
      </w:r>
    </w:p>
    <w:p w14:paraId="3B28A825" w14:textId="77777777" w:rsidR="001D15EB" w:rsidRDefault="00163ADB">
      <w:pPr>
        <w:jc w:val="both"/>
      </w:pPr>
      <w:r>
        <w:t>• QoQ Transaction Growth (%) – (Current Quarter – Previous Quarter) ÷ Previous Quarter, calculated using SQL LAG(). Aggregated using AVERAGE for regions and MAX for snapshot KPIs.</w:t>
      </w:r>
    </w:p>
    <w:p w14:paraId="21C75707" w14:textId="77777777" w:rsidR="001D15EB" w:rsidRDefault="00163ADB">
      <w:pPr>
        <w:jc w:val="both"/>
      </w:pPr>
      <w:r>
        <w:t>• YoY Transaction Growth (%) – (Current Quarter – Same Quarter Last Year) ÷ Same Quarter Last Year, computed using SQL window functions.</w:t>
      </w:r>
    </w:p>
    <w:p w14:paraId="77627B3C" w14:textId="77777777" w:rsidR="001D15EB" w:rsidRDefault="00163ADB">
      <w:r>
        <w:rPr>
          <w:b/>
          <w:color w:val="5F259F"/>
        </w:rPr>
        <w:t>3. Monetization KPIs</w:t>
      </w:r>
    </w:p>
    <w:p w14:paraId="181EA8E2" w14:textId="77777777" w:rsidR="001D15EB" w:rsidRDefault="00163ADB">
      <w:pPr>
        <w:jc w:val="both"/>
      </w:pPr>
      <w:r>
        <w:t>• Merchant Share (%) – Merchant Value ÷ Total Transaction Value from vw_merchant_vs_p2p_share. Indicates monetization depth.</w:t>
      </w:r>
    </w:p>
    <w:p w14:paraId="6B4191C8" w14:textId="77777777" w:rsidR="001D15EB" w:rsidRDefault="00163ADB">
      <w:pPr>
        <w:jc w:val="both"/>
      </w:pPr>
      <w:r>
        <w:t>• P2P Share (%) – Peer-to-Peer Value ÷ Total Value. Reflects transfer-driven behavior.</w:t>
      </w:r>
    </w:p>
    <w:p w14:paraId="4D82A1E3" w14:textId="77777777" w:rsidR="001D15EB" w:rsidRDefault="00163ADB">
      <w:pPr>
        <w:jc w:val="both"/>
      </w:pPr>
      <w:r>
        <w:t>• Merchant Intensity (%) – Merchant Value ÷ Regional Total Value from vw_regional_merchant_intensity. Represents merchant-driven strength at regional level.</w:t>
      </w:r>
    </w:p>
    <w:p w14:paraId="2789619A" w14:textId="77777777" w:rsidR="001D15EB" w:rsidRDefault="00163ADB">
      <w:pPr>
        <w:jc w:val="both"/>
      </w:pPr>
      <w:r>
        <w:t>• Merchant QoQ / YoY Growth (%) – Calculated using SQL LAG() in vw_merchant_growth.</w:t>
      </w:r>
    </w:p>
    <w:p w14:paraId="5C720625" w14:textId="77777777" w:rsidR="001D15EB" w:rsidRDefault="00163ADB">
      <w:r>
        <w:rPr>
          <w:b/>
          <w:color w:val="5F259F"/>
        </w:rPr>
        <w:t>4. Engagement KPIs</w:t>
      </w:r>
    </w:p>
    <w:p w14:paraId="1D6291EF" w14:textId="77777777" w:rsidR="001D15EB" w:rsidRDefault="00163ADB">
      <w:pPr>
        <w:jc w:val="both"/>
      </w:pPr>
      <w:r>
        <w:t>• Total Registered Users – Sum of total_registered_users from vw_core_quarterly_users.</w:t>
      </w:r>
    </w:p>
    <w:p w14:paraId="69854527" w14:textId="77777777" w:rsidR="001D15EB" w:rsidRDefault="00163ADB">
      <w:pPr>
        <w:jc w:val="both"/>
      </w:pPr>
      <w:r>
        <w:t>• Total App Opens – Sum of total_app_opens.</w:t>
      </w:r>
    </w:p>
    <w:p w14:paraId="38BAE660" w14:textId="77777777" w:rsidR="001D15EB" w:rsidRDefault="00163ADB">
      <w:pPr>
        <w:jc w:val="both"/>
      </w:pPr>
      <w:r>
        <w:t>• Engagement Ratio – Weighted calculation: SUM(App Opens) ÷ SUM(Registered Users). Never averaged across states.</w:t>
      </w:r>
    </w:p>
    <w:p w14:paraId="7524B85B" w14:textId="77777777" w:rsidR="001D15EB" w:rsidRDefault="00163ADB">
      <w:pPr>
        <w:jc w:val="both"/>
      </w:pPr>
      <w:r>
        <w:t>• QoQ User Growth (%) – Derived using SQL LAG() in vw_user_growth.</w:t>
      </w:r>
    </w:p>
    <w:p w14:paraId="26F95A1C" w14:textId="77777777" w:rsidR="00590FA2" w:rsidRDefault="00590FA2">
      <w:pPr>
        <w:rPr>
          <w:b/>
          <w:color w:val="5F259F"/>
        </w:rPr>
      </w:pPr>
    </w:p>
    <w:p w14:paraId="4B6EF6BB" w14:textId="77777777" w:rsidR="00590FA2" w:rsidRDefault="00590FA2">
      <w:pPr>
        <w:rPr>
          <w:b/>
          <w:color w:val="5F259F"/>
        </w:rPr>
      </w:pPr>
    </w:p>
    <w:p w14:paraId="3CCBC4B8" w14:textId="77777777" w:rsidR="00590FA2" w:rsidRDefault="00590FA2">
      <w:pPr>
        <w:rPr>
          <w:b/>
          <w:color w:val="5F259F"/>
        </w:rPr>
      </w:pPr>
    </w:p>
    <w:p w14:paraId="5FA93597" w14:textId="77777777" w:rsidR="00590FA2" w:rsidRDefault="00590FA2">
      <w:pPr>
        <w:rPr>
          <w:b/>
          <w:color w:val="5F259F"/>
        </w:rPr>
      </w:pPr>
    </w:p>
    <w:p w14:paraId="5180C68A" w14:textId="77777777" w:rsidR="00590FA2" w:rsidRDefault="00590FA2">
      <w:pPr>
        <w:rPr>
          <w:b/>
          <w:color w:val="5F259F"/>
        </w:rPr>
      </w:pPr>
    </w:p>
    <w:p w14:paraId="1CC15FD7" w14:textId="7979D22B" w:rsidR="001D15EB" w:rsidRDefault="00163ADB">
      <w:r>
        <w:rPr>
          <w:b/>
          <w:color w:val="5F259F"/>
        </w:rPr>
        <w:t>5. Market Leadership KPIs</w:t>
      </w:r>
    </w:p>
    <w:p w14:paraId="41867A6C" w14:textId="77777777" w:rsidR="001D15EB" w:rsidRDefault="00163ADB">
      <w:pPr>
        <w:jc w:val="both"/>
      </w:pPr>
      <w:r>
        <w:t>• Transaction Share (%) – Regional Transactions ÷ National Transactions using ALL() denominator logic.</w:t>
      </w:r>
    </w:p>
    <w:p w14:paraId="5F13475E" w14:textId="77777777" w:rsidR="001D15EB" w:rsidRDefault="00163ADB">
      <w:pPr>
        <w:jc w:val="both"/>
      </w:pPr>
      <w:r>
        <w:t>• Value Share (%) – Regional Value ÷ National Value.</w:t>
      </w:r>
    </w:p>
    <w:p w14:paraId="01A5BB97" w14:textId="77777777" w:rsidR="001D15EB" w:rsidRDefault="00163ADB">
      <w:pPr>
        <w:jc w:val="both"/>
      </w:pPr>
      <w:r>
        <w:t>• Average Ticket Size – Weighted calculation: Total Value ÷ Total Transactions.</w:t>
      </w:r>
    </w:p>
    <w:p w14:paraId="4E1A4C8C" w14:textId="77777777" w:rsidR="001D15EB" w:rsidRDefault="00163ADB">
      <w:pPr>
        <w:jc w:val="both"/>
      </w:pPr>
      <w:r>
        <w:t>• Top 5 Market Share (%) – Sum of Top 5 States’ Value ÷ National Total using TOPN ranking logic.</w:t>
      </w:r>
    </w:p>
    <w:p w14:paraId="61F775A5" w14:textId="77777777" w:rsidR="001D15EB" w:rsidRDefault="00163ADB">
      <w:r>
        <w:rPr>
          <w:b/>
          <w:color w:val="5F259F"/>
        </w:rPr>
        <w:t>6. Aggregation Rules and Controls</w:t>
      </w:r>
    </w:p>
    <w:p w14:paraId="6D6917A0" w14:textId="77777777" w:rsidR="001D15EB" w:rsidRDefault="00163ADB">
      <w:pPr>
        <w:jc w:val="both"/>
      </w:pPr>
      <w:r>
        <w:t>The following aggregation discipline is strictly maintained throughout the project: SUM for additive metrics, AVERAGE for percentage metrics when applicable, MAX for latest-quarter snapshot extraction, and weighted calculations for ratios.</w:t>
      </w:r>
    </w:p>
    <w:p w14:paraId="73BC4969" w14:textId="77777777" w:rsidR="001D15EB" w:rsidRDefault="00163ADB">
      <w:pPr>
        <w:jc w:val="both"/>
      </w:pPr>
      <w:r>
        <w:t>Blind summation of percentages is avoided. All growth calculations are executed in SQL using window functions, ensuring deterministic and auditable results.</w:t>
      </w:r>
    </w:p>
    <w:sectPr w:rsidR="001D15E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7885493">
    <w:abstractNumId w:val="8"/>
  </w:num>
  <w:num w:numId="2" w16cid:durableId="651177807">
    <w:abstractNumId w:val="6"/>
  </w:num>
  <w:num w:numId="3" w16cid:durableId="431902091">
    <w:abstractNumId w:val="5"/>
  </w:num>
  <w:num w:numId="4" w16cid:durableId="1689483938">
    <w:abstractNumId w:val="4"/>
  </w:num>
  <w:num w:numId="5" w16cid:durableId="1249997126">
    <w:abstractNumId w:val="7"/>
  </w:num>
  <w:num w:numId="6" w16cid:durableId="2062557861">
    <w:abstractNumId w:val="3"/>
  </w:num>
  <w:num w:numId="7" w16cid:durableId="1739013087">
    <w:abstractNumId w:val="2"/>
  </w:num>
  <w:num w:numId="8" w16cid:durableId="1369529793">
    <w:abstractNumId w:val="1"/>
  </w:num>
  <w:num w:numId="9" w16cid:durableId="2074113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ADB"/>
    <w:rsid w:val="001D15EB"/>
    <w:rsid w:val="0029639D"/>
    <w:rsid w:val="00326F90"/>
    <w:rsid w:val="00590FA2"/>
    <w:rsid w:val="00AA1D8D"/>
    <w:rsid w:val="00B47730"/>
    <w:rsid w:val="00B76BA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EF906EF-D55F-426D-A65A-C6FD4465E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 Shinde</cp:lastModifiedBy>
  <cp:revision>2</cp:revision>
  <dcterms:created xsi:type="dcterms:W3CDTF">2013-12-23T23:15:00Z</dcterms:created>
  <dcterms:modified xsi:type="dcterms:W3CDTF">2026-02-15T09:38:00Z</dcterms:modified>
  <cp:category/>
</cp:coreProperties>
</file>